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96081426"/>
    <w:bookmarkEnd w:id="0"/>
    <w:p w14:paraId="091B2BE4" w14:textId="549D0A3E" w:rsidR="00B94F38" w:rsidRDefault="00B94F38" w:rsidP="006405B3">
      <w:pPr>
        <w:tabs>
          <w:tab w:val="right" w:pos="9026"/>
        </w:tabs>
        <w:spacing w:before="100" w:beforeAutospacing="1" w:after="0"/>
        <w:ind w:left="-567"/>
      </w:pPr>
      <w:r>
        <w:rPr>
          <w:noProof/>
        </w:rPr>
        <mc:AlternateContent>
          <mc:Choice Requires="wps">
            <w:drawing>
              <wp:anchor distT="0" distB="0" distL="114300" distR="114300" simplePos="0" relativeHeight="251659264" behindDoc="0" locked="0" layoutInCell="1" allowOverlap="1" wp14:anchorId="32470C12" wp14:editId="4474B623">
                <wp:simplePos x="0" y="0"/>
                <wp:positionH relativeFrom="page">
                  <wp:align>left</wp:align>
                </wp:positionH>
                <wp:positionV relativeFrom="paragraph">
                  <wp:posOffset>-1039495</wp:posOffset>
                </wp:positionV>
                <wp:extent cx="7550150" cy="7683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7550150" cy="76835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3385F93B" id="Rectangle 1" o:spid="_x0000_s1026" style="position:absolute;margin-left:0;margin-top:-81.85pt;width:594.5pt;height:6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7+dQIAAG4FAAAOAAAAZHJzL2Uyb0RvYy54bWysVMFu2zAMvQ/YPwi6r7azpu2COkXQosOA&#10;ri3WDj0rshQLkERNUuJkXz9KdpygKzZgWA4KJZKP5DPJy6ut0WQjfFBga1qdlJQIy6FRdlXT78+3&#10;Hy4oCZHZhmmwoqY7EejV/P27y87NxARa0I3wBEFsmHWupm2MblYUgbfCsHACTlhUSvCGRbz6VdF4&#10;1iG60cWkLM+KDnzjPHARAr7e9Eo6z/hSCh4fpAwiEl1TzC3m0+dzmc5ifslmK89cq/iQBvuHLAxT&#10;FoOOUDcsMrL26jcoo7iHADKecDAFSKm4yDVgNVX5qpqnljmRa0FyghtpCv8Plt9vntyjRxo6F2YB&#10;xVTFVnqT/jE/ss1k7UayxDYSjo/n02lZTZFTjrrzs4uPKCNMcfB2PsTPAgxJQk09fozMEdvchdib&#10;7k1SsABaNbdK63xJDSCutScbhp+OcS5snGZ3vTZfoenfpyX+hrC5Z5JLTuIIrTiUlqW40yLF0Pab&#10;kEQ1WMwkI48Ix0GrXtWyRvwtZgZMyBKrGLEHgLcKqobUB/vkKnLTjs7lnxLrORw9cmSwcXQ2yoJ/&#10;C0DHMXJvj5QdUZPEJTS7R0889CMTHL9V+BnvWIiPzOOM4JfHuY8PeEgNXU1hkChpwf986z3ZY+ui&#10;lpIOZ66m4ceaeUGJ/mKxqT9Vp6dpSPPldHo+wYs/1iyPNXZtrgF7o8IN43gWk33Ue1F6MC+4HhYp&#10;KqqY5Ri7pjz6/eU69rsAFwwXi0U2w8F0LN7ZJ8cTeGI1tenz9oV5N/RyxCm4h/18stmrlu5tk6eF&#10;xTqCVLnfD7wOfONQ52YdFlDaGsf3bHVYk/NfAAAA//8DAFBLAwQUAAYACAAAACEAZ+pX194AAAAK&#10;AQAADwAAAGRycy9kb3ducmV2LnhtbEyPwW6DMBBE75X6D9ZW6i0xpFWSEkxUVeIDSAhSbxvsAC1e&#10;I+wE+vfdnNrjzoxm36T72fbiZkbfOVIQLyMQhmqnO2oUlMd8sQXhA5LG3pFR8GM87LPHhxQT7SYq&#10;zO0QGsEl5BNU0IYwJFL6ujUW/dINhti7uNFi4HNspB5x4nLby1UUraXFjvhDi4P5aE39fbhaBU5X&#10;U5nH+Hks86r+omo+xUWh1PPT/L4DEcwc/sJwx2d0yJjp7K6kvegV8JCgYBGvXzYg7n68fWPtzNrr&#10;agMyS+X/CdkvAAAA//8DAFBLAQItABQABgAIAAAAIQC2gziS/gAAAOEBAAATAAAAAAAAAAAAAAAA&#10;AAAAAABbQ29udGVudF9UeXBlc10ueG1sUEsBAi0AFAAGAAgAAAAhADj9If/WAAAAlAEAAAsAAAAA&#10;AAAAAAAAAAAALwEAAF9yZWxzLy5yZWxzUEsBAi0AFAAGAAgAAAAhAG727v51AgAAbgUAAA4AAAAA&#10;AAAAAAAAAAAALgIAAGRycy9lMm9Eb2MueG1sUEsBAi0AFAAGAAgAAAAhAGfqV9feAAAACgEAAA8A&#10;AAAAAAAAAAAAAAAAzwQAAGRycy9kb3ducmV2LnhtbFBLBQYAAAAABAAEAPMAAADaBQAAAAA=&#10;" fillcolor="#3a5a62 [1608]" strokecolor="#593470 [1604]" strokeweight="1pt">
                <w10:wrap anchorx="page"/>
              </v:rect>
            </w:pict>
          </mc:Fallback>
        </mc:AlternateContent>
      </w:r>
      <w:r w:rsidR="00601FD7">
        <w:t xml:space="preserve"> </w:t>
      </w:r>
      <w:r w:rsidR="00FC0B5F">
        <w:t>2022</w:t>
      </w:r>
      <w:r w:rsidR="00601FD7">
        <w:t xml:space="preserve"> </w:t>
      </w:r>
      <w:r w:rsidR="00E13772">
        <w:t>- 23</w:t>
      </w:r>
      <w:r w:rsidR="00140D98">
        <w:tab/>
      </w:r>
    </w:p>
    <w:p w14:paraId="7A737953" w14:textId="1AEF2335" w:rsidR="00D122C8" w:rsidRDefault="00D122C8" w:rsidP="00D122C8">
      <w:pPr>
        <w:ind w:left="-1191"/>
      </w:pPr>
      <w:r>
        <w:rPr>
          <w:noProof/>
        </w:rPr>
        <mc:AlternateContent>
          <mc:Choice Requires="wps">
            <w:drawing>
              <wp:anchor distT="0" distB="0" distL="114300" distR="114300" simplePos="0" relativeHeight="251664384" behindDoc="0" locked="0" layoutInCell="1" allowOverlap="1" wp14:anchorId="649E3553" wp14:editId="25ED5500">
                <wp:simplePos x="0" y="0"/>
                <wp:positionH relativeFrom="column">
                  <wp:posOffset>0</wp:posOffset>
                </wp:positionH>
                <wp:positionV relativeFrom="paragraph">
                  <wp:posOffset>18415</wp:posOffset>
                </wp:positionV>
                <wp:extent cx="514350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5143500" cy="19050"/>
                        </a:xfrm>
                        <a:prstGeom prst="line">
                          <a:avLst/>
                        </a:prstGeom>
                        <a:noFill/>
                        <a:ln w="38100" cap="flat" cmpd="sng" algn="ctr">
                          <a:solidFill>
                            <a:srgbClr val="84ACB6"/>
                          </a:solidFill>
                          <a:prstDash val="solid"/>
                          <a:miter lim="800000"/>
                        </a:ln>
                        <a:effectLst/>
                      </wps:spPr>
                      <wps:bodyPr/>
                    </wps:wsp>
                  </a:graphicData>
                </a:graphic>
              </wp:anchor>
            </w:drawing>
          </mc:Choice>
          <mc:Fallback xmlns:oel="http://schemas.microsoft.com/office/2019/extlst" xmlns:w16sdtdh="http://schemas.microsoft.com/office/word/2020/wordml/sdtdatahash">
            <w:pict>
              <v:line w14:anchorId="74C49884"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45pt" to="4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iBuAEAAFQDAAAOAAAAZHJzL2Uyb0RvYy54bWysU02P0zAQvSPxHyzfqZPd7apETVfQarkg&#10;WGmB+9SxE0v+ksc07b9n7JaywA2Rg2V7xm/mvXlZPxydZQeV0ATf83bRcKa8DIPxY8+/fnl8s+IM&#10;M/gBbPCq5yeF/GHz+tV6jp26CVOwg0qMQDx2c+z5lHPshEA5KQe4CFF5CuqQHGQ6plEMCWZCd1bc&#10;NM29mEMaYgpSIdLt7hzkm4qvtZL5s9aoMrM9p95yXVNd92UVmzV0Y4I4GXlpA/6hCwfGU9Er1A4y&#10;sO/J/AXljEwBg84LGZwIWhupKgdi0zZ/sHmeIKrKhcTBeJUJ/x+s/HTY+qdEMswRO4xPqbA46uSY&#10;tiZ+o5lWXtQpO1bZTlfZ1DEzSZfL9u522ZC6kmLt22ZZZRVnmAIXE+YPKjhWNj23xhdW0MHhI2Yq&#10;Tak/U8q1D4/G2joZ69nc89tVW+GBDKItZKrk4tBz9CNnYEdynsypQmKwZijPCxCmcb+1iR2Apr+6&#10;e7d9f18GTuV+Syu1d4DTOa+Gzr5wJpM5rXH0uinf5bX1BV1Ve10Y/FKv7PZhOFVRRTnR6GrRi82K&#10;N16eaf/yZ9j8AAAA//8DAFBLAwQUAAYACAAAACEAJ7rB3tsAAAAEAQAADwAAAGRycy9kb3ducmV2&#10;LnhtbEyPQU/CQBSE7yb+h80z8SZbMBKofSXGhAMXQeTibek+2mr3bdPdlsqv93HS42QmM99kq9E1&#10;aqAu1J4RppMEFHHhbc0lwuFj/bAAFaJhaxrPhPBDAVb57U1mUuvP/E7DPpZKSjikBqGKsU21DkVF&#10;zoSJb4nFO/nOmSiyK7XtzFnKXaNnSTLXztQsC5Vp6bWi4nvfO4TLYev6y6Z++2yG3cbPH7fha31C&#10;vL8bX55BRRrjXxiu+IIOuTAdfc82qAZBjkSE2RKUmItpIvqI8LQEnWf6P3z+CwAA//8DAFBLAQIt&#10;ABQABgAIAAAAIQC2gziS/gAAAOEBAAATAAAAAAAAAAAAAAAAAAAAAABbQ29udGVudF9UeXBlc10u&#10;eG1sUEsBAi0AFAAGAAgAAAAhADj9If/WAAAAlAEAAAsAAAAAAAAAAAAAAAAALwEAAF9yZWxzLy5y&#10;ZWxzUEsBAi0AFAAGAAgAAAAhAKi9qIG4AQAAVAMAAA4AAAAAAAAAAAAAAAAALgIAAGRycy9lMm9E&#10;b2MueG1sUEsBAi0AFAAGAAgAAAAhACe6wd7bAAAABAEAAA8AAAAAAAAAAAAAAAAAEgQAAGRycy9k&#10;b3ducmV2LnhtbFBLBQYAAAAABAAEAPMAAAAaBQAAAAA=&#10;" strokecolor="#84acb6" strokeweight="3pt">
                <v:stroke joinstyle="miter"/>
              </v:line>
            </w:pict>
          </mc:Fallback>
        </mc:AlternateContent>
      </w:r>
    </w:p>
    <w:p w14:paraId="0BB9B0D1" w14:textId="77777777" w:rsidR="00F9022E" w:rsidRDefault="00D122C8" w:rsidP="00F9022E">
      <w:pPr>
        <w:ind w:left="-964"/>
        <w:rPr>
          <w:sz w:val="72"/>
          <w:szCs w:val="72"/>
        </w:rPr>
      </w:pPr>
      <w:r>
        <w:rPr>
          <w:sz w:val="72"/>
          <w:szCs w:val="72"/>
        </w:rPr>
        <w:t xml:space="preserve">      </w:t>
      </w:r>
      <w:r w:rsidR="00F9022E">
        <w:rPr>
          <w:sz w:val="72"/>
          <w:szCs w:val="72"/>
        </w:rPr>
        <w:t xml:space="preserve">Director of Postgraduate  </w:t>
      </w:r>
    </w:p>
    <w:p w14:paraId="3E197C88" w14:textId="041BABB7" w:rsidR="00D122C8" w:rsidRPr="00855EF9" w:rsidRDefault="00F9022E" w:rsidP="00F9022E">
      <w:pPr>
        <w:ind w:left="-964"/>
        <w:rPr>
          <w:sz w:val="24"/>
          <w:szCs w:val="24"/>
        </w:rPr>
      </w:pPr>
      <w:r>
        <w:rPr>
          <w:sz w:val="72"/>
          <w:szCs w:val="72"/>
        </w:rPr>
        <w:t xml:space="preserve">      Research Studies </w:t>
      </w:r>
    </w:p>
    <w:p w14:paraId="3B3CCA71" w14:textId="77777777" w:rsidR="00A03280" w:rsidRPr="006570D8" w:rsidRDefault="00855EF9" w:rsidP="00DF1908">
      <w:pPr>
        <w:spacing w:after="0"/>
        <w:ind w:left="-964"/>
        <w:rPr>
          <w:sz w:val="20"/>
          <w:szCs w:val="20"/>
        </w:rPr>
      </w:pPr>
      <w:r>
        <w:rPr>
          <w:sz w:val="24"/>
          <w:szCs w:val="24"/>
        </w:rPr>
        <w:tab/>
      </w:r>
      <w:r>
        <w:rPr>
          <w:sz w:val="24"/>
          <w:szCs w:val="24"/>
        </w:rPr>
        <w:tab/>
      </w:r>
      <w:r>
        <w:rPr>
          <w:sz w:val="24"/>
          <w:szCs w:val="24"/>
        </w:rPr>
        <w:tab/>
      </w:r>
      <w:r>
        <w:rPr>
          <w:sz w:val="24"/>
          <w:szCs w:val="24"/>
        </w:rPr>
        <w:tab/>
      </w:r>
      <w:r>
        <w:rPr>
          <w:sz w:val="24"/>
          <w:szCs w:val="24"/>
        </w:rPr>
        <w:tab/>
        <w:t xml:space="preserve">               </w:t>
      </w:r>
      <w:r w:rsidRPr="006570D8">
        <w:rPr>
          <w:sz w:val="20"/>
          <w:szCs w:val="20"/>
        </w:rPr>
        <w:t xml:space="preserve">Role Descriptor for  </w:t>
      </w:r>
      <w:r w:rsidR="00F9022E" w:rsidRPr="006570D8">
        <w:rPr>
          <w:sz w:val="20"/>
          <w:szCs w:val="20"/>
        </w:rPr>
        <w:t xml:space="preserve">a School Director of Postgraduate Research Studies </w:t>
      </w:r>
      <w:r w:rsidR="00A03280" w:rsidRPr="006570D8">
        <w:rPr>
          <w:sz w:val="20"/>
          <w:szCs w:val="20"/>
        </w:rPr>
        <w:t xml:space="preserve">(DPGRS) and </w:t>
      </w:r>
    </w:p>
    <w:p w14:paraId="24790FDC" w14:textId="1035A294" w:rsidR="00855EF9" w:rsidRPr="00855EF9" w:rsidRDefault="00A03280" w:rsidP="00DF1908">
      <w:pPr>
        <w:spacing w:after="0"/>
        <w:ind w:left="-964"/>
        <w:rPr>
          <w:sz w:val="24"/>
          <w:szCs w:val="24"/>
        </w:rPr>
      </w:pPr>
      <w:r w:rsidRPr="006570D8">
        <w:rPr>
          <w:sz w:val="20"/>
          <w:szCs w:val="20"/>
        </w:rPr>
        <w:t xml:space="preserve">                 </w:t>
      </w:r>
      <w:r w:rsidR="006570D8">
        <w:rPr>
          <w:sz w:val="20"/>
          <w:szCs w:val="20"/>
        </w:rPr>
        <w:t xml:space="preserve">    </w:t>
      </w:r>
      <w:r w:rsidRPr="006570D8">
        <w:rPr>
          <w:sz w:val="20"/>
          <w:szCs w:val="20"/>
        </w:rPr>
        <w:t xml:space="preserve">  Deputy Director of Postgraduate Research Studies (DDPGRS)</w:t>
      </w:r>
      <w:r w:rsidR="004C28F1">
        <w:rPr>
          <w:sz w:val="24"/>
          <w:szCs w:val="24"/>
        </w:rPr>
        <w:t xml:space="preserve"> </w:t>
      </w:r>
      <w:r w:rsidR="004C28F1" w:rsidRPr="004C28F1">
        <w:rPr>
          <w:sz w:val="18"/>
          <w:szCs w:val="18"/>
        </w:rPr>
        <w:t>(</w:t>
      </w:r>
      <w:r w:rsidR="00FC0B5F">
        <w:rPr>
          <w:sz w:val="18"/>
          <w:szCs w:val="18"/>
        </w:rPr>
        <w:t>v</w:t>
      </w:r>
      <w:r w:rsidR="00FC0B5F" w:rsidRPr="004C28F1">
        <w:rPr>
          <w:sz w:val="18"/>
          <w:szCs w:val="18"/>
        </w:rPr>
        <w:t>20</w:t>
      </w:r>
      <w:r w:rsidR="00FC0B5F">
        <w:rPr>
          <w:sz w:val="18"/>
          <w:szCs w:val="18"/>
        </w:rPr>
        <w:t>22</w:t>
      </w:r>
      <w:r w:rsidR="004C28F1" w:rsidRPr="004C28F1">
        <w:rPr>
          <w:sz w:val="18"/>
          <w:szCs w:val="18"/>
        </w:rPr>
        <w:t>)</w:t>
      </w:r>
    </w:p>
    <w:p w14:paraId="7E634FB8" w14:textId="42F638DC" w:rsidR="006570D8" w:rsidRPr="006570D8" w:rsidRDefault="001D67CF" w:rsidP="006570D8">
      <w:pPr>
        <w:spacing w:after="0"/>
        <w:ind w:left="-964"/>
        <w:rPr>
          <w:sz w:val="32"/>
          <w:szCs w:val="32"/>
        </w:rPr>
      </w:pPr>
      <w:r>
        <w:rPr>
          <w:noProof/>
        </w:rPr>
        <mc:AlternateContent>
          <mc:Choice Requires="wps">
            <w:drawing>
              <wp:anchor distT="0" distB="0" distL="114300" distR="114300" simplePos="0" relativeHeight="251666432" behindDoc="0" locked="0" layoutInCell="1" allowOverlap="1" wp14:anchorId="296A7D3F" wp14:editId="755399B9">
                <wp:simplePos x="0" y="0"/>
                <wp:positionH relativeFrom="column">
                  <wp:posOffset>0</wp:posOffset>
                </wp:positionH>
                <wp:positionV relativeFrom="paragraph">
                  <wp:posOffset>18415</wp:posOffset>
                </wp:positionV>
                <wp:extent cx="5143500" cy="19050"/>
                <wp:effectExtent l="1905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5143500" cy="19050"/>
                        </a:xfrm>
                        <a:prstGeom prst="line">
                          <a:avLst/>
                        </a:prstGeom>
                        <a:noFill/>
                        <a:ln w="38100" cap="flat" cmpd="sng" algn="ctr">
                          <a:solidFill>
                            <a:srgbClr val="84ACB6"/>
                          </a:solidFill>
                          <a:prstDash val="solid"/>
                          <a:miter lim="800000"/>
                        </a:ln>
                        <a:effectLst/>
                      </wps:spPr>
                      <wps:bodyPr/>
                    </wps:wsp>
                  </a:graphicData>
                </a:graphic>
              </wp:anchor>
            </w:drawing>
          </mc:Choice>
          <mc:Fallback xmlns:oel="http://schemas.microsoft.com/office/2019/extlst" xmlns:w16sdtdh="http://schemas.microsoft.com/office/word/2020/wordml/sdtdatahash">
            <w:pict>
              <v:line w14:anchorId="17F6AC19"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1.45pt" to="4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iBuAEAAFQDAAAOAAAAZHJzL2Uyb0RvYy54bWysU02P0zAQvSPxHyzfqZPd7apETVfQarkg&#10;WGmB+9SxE0v+ksc07b9n7JaywA2Rg2V7xm/mvXlZPxydZQeV0ATf83bRcKa8DIPxY8+/fnl8s+IM&#10;M/gBbPCq5yeF/GHz+tV6jp26CVOwg0qMQDx2c+z5lHPshEA5KQe4CFF5CuqQHGQ6plEMCWZCd1bc&#10;NM29mEMaYgpSIdLt7hzkm4qvtZL5s9aoMrM9p95yXVNd92UVmzV0Y4I4GXlpA/6hCwfGU9Er1A4y&#10;sO/J/AXljEwBg84LGZwIWhupKgdi0zZ/sHmeIKrKhcTBeJUJ/x+s/HTY+qdEMswRO4xPqbA46uSY&#10;tiZ+o5lWXtQpO1bZTlfZ1DEzSZfL9u522ZC6kmLt22ZZZRVnmAIXE+YPKjhWNj23xhdW0MHhI2Yq&#10;Tak/U8q1D4/G2joZ69nc89tVW+GBDKItZKrk4tBz9CNnYEdynsypQmKwZijPCxCmcb+1iR2Apr+6&#10;e7d9f18GTuV+Syu1d4DTOa+Gzr5wJpM5rXH0uinf5bX1BV1Ve10Y/FKv7PZhOFVRRTnR6GrRi82K&#10;N16eaf/yZ9j8AAAA//8DAFBLAwQUAAYACAAAACEAJ7rB3tsAAAAEAQAADwAAAGRycy9kb3ducmV2&#10;LnhtbEyPQU/CQBSE7yb+h80z8SZbMBKofSXGhAMXQeTibek+2mr3bdPdlsqv93HS42QmM99kq9E1&#10;aqAu1J4RppMEFHHhbc0lwuFj/bAAFaJhaxrPhPBDAVb57U1mUuvP/E7DPpZKSjikBqGKsU21DkVF&#10;zoSJb4nFO/nOmSiyK7XtzFnKXaNnSTLXztQsC5Vp6bWi4nvfO4TLYev6y6Z++2yG3cbPH7fha31C&#10;vL8bX55BRRrjXxiu+IIOuTAdfc82qAZBjkSE2RKUmItpIvqI8LQEnWf6P3z+CwAA//8DAFBLAQIt&#10;ABQABgAIAAAAIQC2gziS/gAAAOEBAAATAAAAAAAAAAAAAAAAAAAAAABbQ29udGVudF9UeXBlc10u&#10;eG1sUEsBAi0AFAAGAAgAAAAhADj9If/WAAAAlAEAAAsAAAAAAAAAAAAAAAAALwEAAF9yZWxzLy5y&#10;ZWxzUEsBAi0AFAAGAAgAAAAhAKi9qIG4AQAAVAMAAA4AAAAAAAAAAAAAAAAALgIAAGRycy9lMm9E&#10;b2MueG1sUEsBAi0AFAAGAAgAAAAhACe6wd7bAAAABAEAAA8AAAAAAAAAAAAAAAAAEgQAAGRycy9k&#10;b3ducmV2LnhtbFBLBQYAAAAABAAEAPMAAAAaBQAAAAA=&#10;" strokecolor="#84acb6" strokeweight="3pt">
                <v:stroke joinstyle="miter"/>
              </v:line>
            </w:pict>
          </mc:Fallback>
        </mc:AlternateContent>
      </w:r>
    </w:p>
    <w:p w14:paraId="3656B21D" w14:textId="632ADCBE" w:rsidR="00DF1908" w:rsidRPr="00493B18" w:rsidRDefault="00DF1908" w:rsidP="003E27A9">
      <w:pPr>
        <w:spacing w:line="240" w:lineRule="auto"/>
        <w:ind w:left="340" w:right="567"/>
        <w:jc w:val="both"/>
        <w:rPr>
          <w:rFonts w:asciiTheme="minorBidi" w:hAnsiTheme="minorBidi"/>
          <w:color w:val="455673" w:themeColor="accent3" w:themeShade="BF"/>
          <w:sz w:val="24"/>
          <w:szCs w:val="24"/>
        </w:rPr>
      </w:pPr>
      <w:r w:rsidRPr="00493B18">
        <w:rPr>
          <w:rFonts w:asciiTheme="minorBidi" w:hAnsiTheme="minorBidi"/>
          <w:color w:val="455673" w:themeColor="accent3" w:themeShade="BF"/>
          <w:sz w:val="24"/>
          <w:szCs w:val="24"/>
        </w:rPr>
        <w:t xml:space="preserve">In accordance with the requirements of </w:t>
      </w:r>
      <w:hyperlink r:id="rId7" w:history="1">
        <w:r w:rsidRPr="00493B18">
          <w:rPr>
            <w:rStyle w:val="Hyperlink"/>
            <w:rFonts w:asciiTheme="minorBidi" w:hAnsiTheme="minorBidi"/>
            <w:color w:val="455673" w:themeColor="accent3" w:themeShade="BF"/>
            <w:sz w:val="24"/>
            <w:szCs w:val="24"/>
          </w:rPr>
          <w:t>the University’s Code of Practice for Research Degree Candidatures</w:t>
        </w:r>
      </w:hyperlink>
      <w:r w:rsidRPr="00493B18">
        <w:rPr>
          <w:rFonts w:asciiTheme="minorBidi" w:hAnsiTheme="minorBidi"/>
          <w:color w:val="455673" w:themeColor="accent3" w:themeShade="BF"/>
          <w:sz w:val="24"/>
          <w:szCs w:val="24"/>
        </w:rPr>
        <w:t xml:space="preserve"> every academic unit in the University must have a Director of Postgraduate Research Studies (DPGRS),</w:t>
      </w:r>
      <w:r w:rsidRPr="00493B18">
        <w:rPr>
          <w:rStyle w:val="FootnoteReference"/>
          <w:rFonts w:asciiTheme="minorBidi" w:hAnsiTheme="minorBidi"/>
          <w:color w:val="455673" w:themeColor="accent3" w:themeShade="BF"/>
          <w:sz w:val="24"/>
          <w:szCs w:val="24"/>
        </w:rPr>
        <w:footnoteReference w:id="1"/>
      </w:r>
      <w:r w:rsidRPr="00493B18">
        <w:rPr>
          <w:rFonts w:asciiTheme="minorBidi" w:hAnsiTheme="minorBidi"/>
          <w:color w:val="455673" w:themeColor="accent3" w:themeShade="BF"/>
          <w:sz w:val="24"/>
          <w:szCs w:val="24"/>
        </w:rPr>
        <w:t xml:space="preserve"> holding strategic responsibility for the recruitment and academic support of PGRs in the unit.</w:t>
      </w:r>
    </w:p>
    <w:p w14:paraId="1CB92C23" w14:textId="77777777" w:rsidR="00AC4A00" w:rsidRPr="00493B18" w:rsidRDefault="00AC4A00" w:rsidP="003E27A9">
      <w:pPr>
        <w:spacing w:line="240" w:lineRule="auto"/>
        <w:ind w:left="340" w:right="567"/>
        <w:jc w:val="both"/>
        <w:rPr>
          <w:rFonts w:asciiTheme="minorBidi" w:hAnsiTheme="minorBidi"/>
          <w:color w:val="455673" w:themeColor="accent3" w:themeShade="BF"/>
          <w:sz w:val="24"/>
          <w:szCs w:val="24"/>
        </w:rPr>
      </w:pPr>
      <w:r w:rsidRPr="00493B18">
        <w:rPr>
          <w:rFonts w:asciiTheme="minorBidi" w:hAnsiTheme="minorBidi"/>
          <w:color w:val="455673" w:themeColor="accent3" w:themeShade="BF"/>
          <w:sz w:val="24"/>
          <w:szCs w:val="24"/>
        </w:rPr>
        <w:t xml:space="preserve">Graduate Board has delegated responsibility for the appointment of Directors of PGR Studies to Faculty Graduate School Committees. </w:t>
      </w:r>
    </w:p>
    <w:p w14:paraId="06DEF04B" w14:textId="77777777" w:rsidR="00AC4A00" w:rsidRPr="00493B18" w:rsidRDefault="00AC4A00" w:rsidP="003E27A9">
      <w:pPr>
        <w:spacing w:line="240" w:lineRule="auto"/>
        <w:ind w:left="340" w:right="567"/>
        <w:jc w:val="both"/>
        <w:rPr>
          <w:rFonts w:asciiTheme="minorBidi" w:hAnsiTheme="minorBidi"/>
          <w:b/>
          <w:color w:val="455673" w:themeColor="accent3" w:themeShade="BF"/>
          <w:sz w:val="24"/>
          <w:szCs w:val="24"/>
          <w:lang w:val="en-US"/>
        </w:rPr>
      </w:pPr>
      <w:r w:rsidRPr="00493B18">
        <w:rPr>
          <w:rFonts w:asciiTheme="minorBidi" w:hAnsiTheme="minorBidi"/>
          <w:color w:val="455673" w:themeColor="accent3" w:themeShade="BF"/>
          <w:sz w:val="24"/>
          <w:szCs w:val="24"/>
        </w:rPr>
        <w:t>Heads of Schools and academic units are asked to send forward recommendations for appointment to the Head of the Graduate School who will, in turn, advise the Doctoral College of new appointments.</w:t>
      </w:r>
    </w:p>
    <w:p w14:paraId="23375F6E" w14:textId="77777777" w:rsidR="008C2536" w:rsidRDefault="008C2536" w:rsidP="008C2536">
      <w:pPr>
        <w:spacing w:line="240" w:lineRule="auto"/>
        <w:ind w:left="-454"/>
        <w:rPr>
          <w:rFonts w:ascii="Arial" w:hAnsi="Arial" w:cs="Arial"/>
          <w:b/>
          <w:lang w:val="en-US"/>
        </w:rPr>
      </w:pPr>
    </w:p>
    <w:p w14:paraId="5CF04739" w14:textId="4F737713" w:rsidR="00296033" w:rsidRPr="00596315" w:rsidRDefault="006570D8" w:rsidP="008C2536">
      <w:pPr>
        <w:spacing w:line="240" w:lineRule="auto"/>
        <w:ind w:left="-454"/>
        <w:rPr>
          <w:rFonts w:cstheme="minorHAnsi"/>
          <w:b/>
          <w:color w:val="497288" w:themeColor="accent4" w:themeShade="BF"/>
          <w:sz w:val="24"/>
          <w:szCs w:val="24"/>
          <w:lang w:val="en-US"/>
        </w:rPr>
      </w:pPr>
      <w:r w:rsidRPr="00596315">
        <w:rPr>
          <w:rFonts w:cstheme="minorHAnsi"/>
          <w:b/>
          <w:color w:val="497288" w:themeColor="accent4" w:themeShade="BF"/>
          <w:sz w:val="24"/>
          <w:szCs w:val="24"/>
          <w:lang w:val="en-US"/>
        </w:rPr>
        <w:t>DIRECTOR</w:t>
      </w:r>
      <w:r w:rsidR="00596315" w:rsidRPr="00596315">
        <w:rPr>
          <w:rFonts w:cstheme="minorHAnsi"/>
          <w:b/>
          <w:color w:val="497288" w:themeColor="accent4" w:themeShade="BF"/>
          <w:sz w:val="24"/>
          <w:szCs w:val="24"/>
          <w:lang w:val="en-US"/>
        </w:rPr>
        <w:t>S</w:t>
      </w:r>
      <w:r w:rsidRPr="00596315">
        <w:rPr>
          <w:rFonts w:cstheme="minorHAnsi"/>
          <w:b/>
          <w:color w:val="497288" w:themeColor="accent4" w:themeShade="BF"/>
          <w:sz w:val="24"/>
          <w:szCs w:val="24"/>
          <w:lang w:val="en-US"/>
        </w:rPr>
        <w:t xml:space="preserve"> OF POSTGRADUATE RESEARCH STUDIES (DPGRS</w:t>
      </w:r>
      <w:r w:rsidR="00596315" w:rsidRPr="00596315">
        <w:rPr>
          <w:rFonts w:cstheme="minorHAnsi"/>
          <w:b/>
          <w:color w:val="497288" w:themeColor="accent4" w:themeShade="BF"/>
          <w:sz w:val="24"/>
          <w:szCs w:val="24"/>
          <w:lang w:val="en-US"/>
        </w:rPr>
        <w:t>)</w:t>
      </w:r>
      <w:r w:rsidR="00296033" w:rsidRPr="00596315">
        <w:rPr>
          <w:rFonts w:cstheme="minorHAnsi"/>
          <w:color w:val="497288" w:themeColor="accent4" w:themeShade="BF"/>
          <w:sz w:val="24"/>
          <w:szCs w:val="24"/>
        </w:rPr>
        <w:t>:</w:t>
      </w:r>
    </w:p>
    <w:p w14:paraId="5CA53B8C" w14:textId="6FEC62EB" w:rsidR="001C44F7" w:rsidRPr="008C2536" w:rsidRDefault="00AC4A00" w:rsidP="008C2536">
      <w:pPr>
        <w:pStyle w:val="ListParagraph"/>
        <w:numPr>
          <w:ilvl w:val="1"/>
          <w:numId w:val="13"/>
        </w:numPr>
        <w:spacing w:after="0" w:line="240" w:lineRule="auto"/>
        <w:ind w:right="113"/>
        <w:rPr>
          <w:rFonts w:ascii="Arial" w:hAnsi="Arial" w:cs="Arial"/>
        </w:rPr>
      </w:pPr>
      <w:r>
        <w:rPr>
          <w:rFonts w:ascii="Arial" w:hAnsi="Arial" w:cs="Arial"/>
        </w:rPr>
        <w:t xml:space="preserve">Are </w:t>
      </w:r>
      <w:r w:rsidR="001C44F7" w:rsidRPr="008C2536">
        <w:rPr>
          <w:rFonts w:ascii="Arial" w:hAnsi="Arial" w:cs="Arial"/>
        </w:rPr>
        <w:t xml:space="preserve">managed by their Heads of School or academic unit, with a dotted-line report to the Head of the relevant Faculty Graduate School </w:t>
      </w:r>
    </w:p>
    <w:p w14:paraId="1E83878F" w14:textId="77777777" w:rsidR="001C44F7" w:rsidRPr="008C2536" w:rsidRDefault="001C44F7" w:rsidP="001C44F7">
      <w:pPr>
        <w:spacing w:after="0" w:line="240" w:lineRule="auto"/>
        <w:ind w:right="113"/>
        <w:rPr>
          <w:rFonts w:ascii="Arial" w:hAnsi="Arial" w:cs="Arial"/>
        </w:rPr>
      </w:pPr>
    </w:p>
    <w:p w14:paraId="518F664E" w14:textId="2706E116" w:rsidR="003907E1" w:rsidRPr="008C2536" w:rsidRDefault="001C44F7" w:rsidP="008C2536">
      <w:pPr>
        <w:pStyle w:val="ListParagraph"/>
        <w:numPr>
          <w:ilvl w:val="1"/>
          <w:numId w:val="13"/>
        </w:numPr>
        <w:spacing w:after="0" w:line="240" w:lineRule="auto"/>
        <w:ind w:right="113"/>
        <w:rPr>
          <w:rFonts w:ascii="Arial" w:hAnsi="Arial" w:cs="Arial"/>
        </w:rPr>
      </w:pPr>
      <w:r w:rsidRPr="008C2536">
        <w:rPr>
          <w:rFonts w:ascii="Arial" w:hAnsi="Arial" w:cs="Arial"/>
        </w:rPr>
        <w:t>must be provided with appropriate workload release, normally set at 0.2 FTE</w:t>
      </w:r>
    </w:p>
    <w:p w14:paraId="1F66784E" w14:textId="36251D16" w:rsidR="006E3628" w:rsidRPr="008C2536" w:rsidRDefault="006E3628" w:rsidP="008C2536">
      <w:pPr>
        <w:pStyle w:val="ListParagraph"/>
        <w:numPr>
          <w:ilvl w:val="0"/>
          <w:numId w:val="13"/>
        </w:numPr>
        <w:spacing w:after="0"/>
        <w:jc w:val="center"/>
        <w:rPr>
          <w:color w:val="FFFFFF" w:themeColor="background1"/>
        </w:rPr>
      </w:pPr>
      <w:r w:rsidRPr="008C2536">
        <w:rPr>
          <w:b/>
          <w:bCs/>
          <w:color w:val="FFFFFF" w:themeColor="background1"/>
          <w:lang w:val="en-US"/>
        </w:rPr>
        <w:t>School Director of PGR Studies</w:t>
      </w:r>
    </w:p>
    <w:p w14:paraId="54CA66CA" w14:textId="77777777" w:rsidR="00296033" w:rsidRPr="008C2536" w:rsidRDefault="00296033" w:rsidP="00296033">
      <w:pPr>
        <w:numPr>
          <w:ilvl w:val="0"/>
          <w:numId w:val="12"/>
        </w:numPr>
        <w:spacing w:after="0" w:line="240" w:lineRule="auto"/>
        <w:ind w:left="-57" w:right="113"/>
        <w:rPr>
          <w:rFonts w:ascii="Arial" w:hAnsi="Arial" w:cs="Arial"/>
        </w:rPr>
      </w:pPr>
      <w:r w:rsidRPr="008C2536">
        <w:rPr>
          <w:rFonts w:ascii="Arial" w:hAnsi="Arial" w:cs="Arial"/>
        </w:rPr>
        <w:t xml:space="preserve">The DPGRS has a key strategic and operational role within the academic unit, and as such is normally expected to be a member of the unit’s senior management team or equivalent or to attend meetings on a regular basis for the discussion of relevant items.  </w:t>
      </w:r>
    </w:p>
    <w:p w14:paraId="501133DC" w14:textId="77777777" w:rsidR="00296033" w:rsidRPr="008C2536" w:rsidRDefault="00296033" w:rsidP="00296033">
      <w:pPr>
        <w:pStyle w:val="Default"/>
        <w:ind w:left="-94"/>
        <w:rPr>
          <w:color w:val="auto"/>
          <w:sz w:val="22"/>
          <w:szCs w:val="22"/>
        </w:rPr>
      </w:pPr>
    </w:p>
    <w:p w14:paraId="16DF1220" w14:textId="77777777" w:rsidR="00296033" w:rsidRPr="008C2536" w:rsidRDefault="00296033" w:rsidP="00296033">
      <w:pPr>
        <w:numPr>
          <w:ilvl w:val="0"/>
          <w:numId w:val="12"/>
        </w:numPr>
        <w:spacing w:after="0" w:line="240" w:lineRule="auto"/>
        <w:ind w:left="-57" w:right="113"/>
        <w:rPr>
          <w:rStyle w:val="st1"/>
          <w:rFonts w:ascii="Arial" w:hAnsi="Arial" w:cs="Arial"/>
        </w:rPr>
      </w:pPr>
      <w:r w:rsidRPr="008C2536">
        <w:rPr>
          <w:rFonts w:ascii="Arial" w:hAnsi="Arial" w:cs="Arial"/>
        </w:rPr>
        <w:t xml:space="preserve">Working through the Faculty Graduate School and the wider Doctoral College community, the DPGRS work as a team to ensure that strategy and policy for postgraduate research </w:t>
      </w:r>
      <w:r w:rsidRPr="008C2536">
        <w:rPr>
          <w:rStyle w:val="st1"/>
          <w:rFonts w:ascii="Arial" w:hAnsi="Arial" w:cs="Arial"/>
        </w:rPr>
        <w:t>are implemented effectively.  The DPGRS will represent their school / academic unit as a member of the Faculty Graduate School Committee.</w:t>
      </w:r>
    </w:p>
    <w:p w14:paraId="26E19789" w14:textId="101BB08F" w:rsidR="0049725C" w:rsidRPr="008C2536" w:rsidRDefault="0049725C" w:rsidP="0049725C">
      <w:pPr>
        <w:spacing w:after="0" w:line="240" w:lineRule="auto"/>
        <w:ind w:right="113"/>
        <w:rPr>
          <w:rFonts w:ascii="Arial" w:hAnsi="Arial" w:cs="Arial"/>
        </w:rPr>
      </w:pPr>
    </w:p>
    <w:p w14:paraId="11510FA1" w14:textId="6E66F90D" w:rsidR="0049725C" w:rsidRDefault="0049725C" w:rsidP="0049725C">
      <w:pPr>
        <w:spacing w:after="0" w:line="240" w:lineRule="auto"/>
        <w:ind w:right="113"/>
        <w:rPr>
          <w:rFonts w:ascii="Arial" w:hAnsi="Arial" w:cs="Arial"/>
        </w:rPr>
      </w:pPr>
    </w:p>
    <w:p w14:paraId="5B996F17" w14:textId="2FB6C630" w:rsidR="0049725C" w:rsidRPr="00596315" w:rsidRDefault="0049725C" w:rsidP="0049725C">
      <w:pPr>
        <w:spacing w:line="240" w:lineRule="auto"/>
        <w:rPr>
          <w:rFonts w:cstheme="minorHAnsi"/>
          <w:b/>
          <w:color w:val="497288" w:themeColor="accent4" w:themeShade="BF"/>
          <w:sz w:val="24"/>
          <w:szCs w:val="24"/>
          <w:lang w:val="en-US"/>
        </w:rPr>
      </w:pPr>
      <w:r w:rsidRPr="00596315">
        <w:rPr>
          <w:rFonts w:cstheme="minorHAnsi"/>
          <w:b/>
          <w:color w:val="497288" w:themeColor="accent4" w:themeShade="BF"/>
          <w:sz w:val="24"/>
          <w:szCs w:val="24"/>
          <w:lang w:val="en-US"/>
        </w:rPr>
        <w:t>DEPUTY DIRECTOR OF POSTGRADUATE RESEARCH STUDIES</w:t>
      </w:r>
    </w:p>
    <w:p w14:paraId="23403CCE" w14:textId="18DA9493" w:rsidR="00FC0B5F" w:rsidRPr="008C2536" w:rsidRDefault="003907E1" w:rsidP="00FC0B5F">
      <w:pPr>
        <w:numPr>
          <w:ilvl w:val="0"/>
          <w:numId w:val="12"/>
        </w:numPr>
        <w:spacing w:after="0" w:line="240" w:lineRule="auto"/>
        <w:ind w:left="-57" w:right="113"/>
        <w:rPr>
          <w:rFonts w:ascii="Arial" w:hAnsi="Arial" w:cs="Arial"/>
        </w:rPr>
      </w:pPr>
      <w:r w:rsidRPr="008C2536">
        <w:rPr>
          <w:rFonts w:ascii="Arial" w:hAnsi="Arial" w:cs="Arial"/>
        </w:rPr>
        <w:t xml:space="preserve">Where numbers justify it, one or more Deputy DPGRSs may be appointed.  Normally one DPGRS or Deputy DPGRS for every fifty PGRs would be expected. </w:t>
      </w:r>
    </w:p>
    <w:p w14:paraId="32BB2A87" w14:textId="77777777" w:rsidR="00FC0B5F" w:rsidRPr="008C2536" w:rsidRDefault="00FC0B5F" w:rsidP="00FC0B5F">
      <w:pPr>
        <w:spacing w:after="0" w:line="240" w:lineRule="auto"/>
        <w:ind w:left="-57" w:right="113"/>
        <w:rPr>
          <w:rFonts w:ascii="Arial" w:hAnsi="Arial" w:cs="Arial"/>
        </w:rPr>
      </w:pPr>
    </w:p>
    <w:p w14:paraId="27903DAD" w14:textId="77777777" w:rsidR="00345B52" w:rsidRDefault="001C44F7" w:rsidP="00345B52">
      <w:pPr>
        <w:numPr>
          <w:ilvl w:val="0"/>
          <w:numId w:val="12"/>
        </w:numPr>
        <w:spacing w:after="0" w:line="240" w:lineRule="auto"/>
        <w:ind w:left="-57" w:right="113"/>
        <w:rPr>
          <w:rFonts w:ascii="Arial" w:hAnsi="Arial" w:cs="Arial"/>
        </w:rPr>
      </w:pPr>
      <w:r w:rsidRPr="008C2536">
        <w:rPr>
          <w:rFonts w:ascii="Arial" w:hAnsi="Arial" w:cs="Arial"/>
        </w:rPr>
        <w:t>Deputy DPGRSs may also take responsibility for a specific area of activity, such as admission or progression, as outlined below.</w:t>
      </w:r>
    </w:p>
    <w:p w14:paraId="639AD65C" w14:textId="77777777" w:rsidR="00345B52" w:rsidRDefault="00345B52" w:rsidP="00345B52">
      <w:pPr>
        <w:pStyle w:val="ListParagraph"/>
        <w:rPr>
          <w:rFonts w:ascii="Arial" w:hAnsi="Arial" w:cs="Arial"/>
        </w:rPr>
      </w:pPr>
    </w:p>
    <w:p w14:paraId="2A28C9A8" w14:textId="137FC409" w:rsidR="00345B52" w:rsidRPr="00345B52" w:rsidRDefault="00345B52" w:rsidP="00345B52">
      <w:pPr>
        <w:numPr>
          <w:ilvl w:val="0"/>
          <w:numId w:val="12"/>
        </w:numPr>
        <w:spacing w:after="0" w:line="240" w:lineRule="auto"/>
        <w:ind w:left="-57" w:right="113"/>
        <w:rPr>
          <w:rStyle w:val="apple-style-span"/>
          <w:rFonts w:ascii="Arial" w:hAnsi="Arial" w:cs="Arial"/>
        </w:rPr>
      </w:pPr>
      <w:r w:rsidRPr="00345B52">
        <w:rPr>
          <w:rFonts w:ascii="Arial" w:hAnsi="Arial" w:cs="Arial"/>
        </w:rPr>
        <w:t>Appropriate workload relief must be awarded.  This will vary according to the number of PGRs in the unit and the range of duties covered.</w:t>
      </w:r>
    </w:p>
    <w:p w14:paraId="448CF8FE" w14:textId="2ADFFFD9" w:rsidR="001C44F7" w:rsidRPr="00596315" w:rsidRDefault="001C44F7" w:rsidP="003907E1">
      <w:pPr>
        <w:pStyle w:val="Default"/>
        <w:ind w:left="-426"/>
        <w:rPr>
          <w:rFonts w:asciiTheme="minorHAnsi" w:hAnsiTheme="minorHAnsi" w:cstheme="minorHAnsi"/>
          <w:b/>
          <w:color w:val="497288" w:themeColor="accent4" w:themeShade="BF"/>
          <w:sz w:val="32"/>
          <w:szCs w:val="32"/>
        </w:rPr>
      </w:pPr>
      <w:r w:rsidRPr="00596315">
        <w:rPr>
          <w:rFonts w:asciiTheme="minorHAnsi" w:hAnsiTheme="minorHAnsi" w:cstheme="minorHAnsi"/>
          <w:b/>
          <w:color w:val="497288" w:themeColor="accent4" w:themeShade="BF"/>
          <w:sz w:val="32"/>
          <w:szCs w:val="32"/>
        </w:rPr>
        <w:lastRenderedPageBreak/>
        <w:t>Criteria for the appointment of Directors of Postgraduate Research Studies</w:t>
      </w:r>
    </w:p>
    <w:p w14:paraId="4E0465A0" w14:textId="77777777" w:rsidR="003907E1" w:rsidRPr="0035350D" w:rsidRDefault="003907E1" w:rsidP="003907E1">
      <w:pPr>
        <w:pStyle w:val="Default"/>
        <w:ind w:left="-426"/>
        <w:rPr>
          <w:b/>
          <w:color w:val="auto"/>
          <w:sz w:val="22"/>
          <w:szCs w:val="22"/>
        </w:rPr>
      </w:pPr>
    </w:p>
    <w:p w14:paraId="41AEF8E2" w14:textId="41E7D9C2" w:rsidR="003907E1" w:rsidRPr="002964DA" w:rsidRDefault="003907E1" w:rsidP="006405B3">
      <w:pPr>
        <w:pStyle w:val="Default"/>
        <w:rPr>
          <w:color w:val="auto"/>
          <w:sz w:val="22"/>
          <w:szCs w:val="22"/>
        </w:rPr>
      </w:pPr>
      <w:r w:rsidRPr="002964DA">
        <w:rPr>
          <w:color w:val="auto"/>
          <w:sz w:val="22"/>
          <w:szCs w:val="22"/>
        </w:rPr>
        <w:t>Appointment</w:t>
      </w:r>
      <w:r>
        <w:rPr>
          <w:color w:val="auto"/>
          <w:sz w:val="22"/>
          <w:szCs w:val="22"/>
        </w:rPr>
        <w:t xml:space="preserve">s should </w:t>
      </w:r>
      <w:r w:rsidR="008C2536">
        <w:rPr>
          <w:color w:val="auto"/>
          <w:sz w:val="22"/>
          <w:szCs w:val="22"/>
        </w:rPr>
        <w:t xml:space="preserve">normally </w:t>
      </w:r>
      <w:r w:rsidRPr="002964DA">
        <w:rPr>
          <w:color w:val="auto"/>
          <w:sz w:val="22"/>
          <w:szCs w:val="22"/>
        </w:rPr>
        <w:t>be made in accordance with the following criteria approved by the Graduate Board:</w:t>
      </w:r>
    </w:p>
    <w:p w14:paraId="708ECB98" w14:textId="77777777" w:rsidR="003907E1" w:rsidRPr="002964DA" w:rsidRDefault="003907E1" w:rsidP="003907E1">
      <w:pPr>
        <w:pStyle w:val="Default"/>
        <w:ind w:left="-426"/>
        <w:rPr>
          <w:color w:val="auto"/>
          <w:sz w:val="22"/>
          <w:szCs w:val="22"/>
        </w:rPr>
      </w:pPr>
    </w:p>
    <w:p w14:paraId="08C53E0E" w14:textId="497AC79D" w:rsidR="003907E1" w:rsidRDefault="003907E1" w:rsidP="003907E1">
      <w:pPr>
        <w:pStyle w:val="Default"/>
        <w:numPr>
          <w:ilvl w:val="0"/>
          <w:numId w:val="7"/>
        </w:numPr>
        <w:ind w:left="426"/>
        <w:rPr>
          <w:color w:val="auto"/>
          <w:sz w:val="22"/>
          <w:szCs w:val="22"/>
        </w:rPr>
      </w:pPr>
      <w:r w:rsidRPr="00C109CE">
        <w:rPr>
          <w:color w:val="auto"/>
          <w:sz w:val="22"/>
          <w:szCs w:val="22"/>
        </w:rPr>
        <w:t>be members of staff holding at least a Grade 8 appointment on an academic career pathway;</w:t>
      </w:r>
    </w:p>
    <w:p w14:paraId="0648AC54" w14:textId="77777777" w:rsidR="003907E1" w:rsidRPr="003907E1" w:rsidRDefault="003907E1" w:rsidP="003907E1">
      <w:pPr>
        <w:pStyle w:val="Default"/>
        <w:ind w:left="426"/>
        <w:rPr>
          <w:color w:val="auto"/>
          <w:sz w:val="22"/>
          <w:szCs w:val="22"/>
        </w:rPr>
      </w:pPr>
    </w:p>
    <w:p w14:paraId="11EA4A8C" w14:textId="79497830" w:rsidR="003907E1" w:rsidRDefault="003907E1" w:rsidP="003907E1">
      <w:pPr>
        <w:pStyle w:val="Default"/>
        <w:numPr>
          <w:ilvl w:val="0"/>
          <w:numId w:val="7"/>
        </w:numPr>
        <w:ind w:left="426"/>
        <w:rPr>
          <w:color w:val="auto"/>
          <w:sz w:val="22"/>
          <w:szCs w:val="22"/>
        </w:rPr>
      </w:pPr>
      <w:r w:rsidRPr="0027768B">
        <w:rPr>
          <w:color w:val="auto"/>
          <w:sz w:val="22"/>
          <w:szCs w:val="22"/>
        </w:rPr>
        <w:t xml:space="preserve">have previous experience of research supervision at Leeds or </w:t>
      </w:r>
      <w:r>
        <w:rPr>
          <w:color w:val="auto"/>
          <w:sz w:val="22"/>
          <w:szCs w:val="22"/>
        </w:rPr>
        <w:t>elsewhere (which includes supervising</w:t>
      </w:r>
      <w:r w:rsidRPr="0027768B">
        <w:rPr>
          <w:color w:val="auto"/>
          <w:sz w:val="22"/>
          <w:szCs w:val="22"/>
        </w:rPr>
        <w:t xml:space="preserve"> at least one doctoral candidate </w:t>
      </w:r>
      <w:r>
        <w:rPr>
          <w:color w:val="auto"/>
          <w:sz w:val="22"/>
          <w:szCs w:val="22"/>
        </w:rPr>
        <w:t xml:space="preserve">from commencement of study </w:t>
      </w:r>
      <w:r w:rsidRPr="0027768B">
        <w:rPr>
          <w:color w:val="auto"/>
          <w:sz w:val="22"/>
          <w:szCs w:val="22"/>
        </w:rPr>
        <w:t>through to successful completion);</w:t>
      </w:r>
    </w:p>
    <w:p w14:paraId="1294CCCA" w14:textId="77777777" w:rsidR="003907E1" w:rsidRPr="0027768B" w:rsidRDefault="003907E1" w:rsidP="003907E1">
      <w:pPr>
        <w:pStyle w:val="Default"/>
        <w:rPr>
          <w:color w:val="auto"/>
          <w:sz w:val="22"/>
          <w:szCs w:val="22"/>
        </w:rPr>
      </w:pPr>
    </w:p>
    <w:p w14:paraId="37C56DA3" w14:textId="77777777" w:rsidR="003907E1" w:rsidRPr="0027768B" w:rsidRDefault="003907E1" w:rsidP="003907E1">
      <w:pPr>
        <w:pStyle w:val="Default"/>
        <w:numPr>
          <w:ilvl w:val="0"/>
          <w:numId w:val="7"/>
        </w:numPr>
        <w:adjustRightInd/>
        <w:ind w:left="426"/>
        <w:rPr>
          <w:color w:val="auto"/>
          <w:sz w:val="22"/>
          <w:szCs w:val="22"/>
        </w:rPr>
      </w:pPr>
      <w:r>
        <w:rPr>
          <w:color w:val="auto"/>
          <w:sz w:val="22"/>
          <w:szCs w:val="22"/>
        </w:rPr>
        <w:t>have previous experience of research degree examination at Leeds or elsewhere in the UK.</w:t>
      </w:r>
    </w:p>
    <w:p w14:paraId="2C0BD2B8" w14:textId="77777777" w:rsidR="003907E1" w:rsidRPr="00C109CE" w:rsidRDefault="003907E1" w:rsidP="003907E1">
      <w:pPr>
        <w:pStyle w:val="Default"/>
        <w:rPr>
          <w:color w:val="auto"/>
          <w:sz w:val="22"/>
          <w:szCs w:val="22"/>
        </w:rPr>
      </w:pPr>
    </w:p>
    <w:p w14:paraId="5C9FA1C7" w14:textId="77777777" w:rsidR="003907E1" w:rsidRPr="00C109CE" w:rsidRDefault="003907E1" w:rsidP="006405B3">
      <w:pPr>
        <w:pStyle w:val="Default"/>
        <w:rPr>
          <w:color w:val="auto"/>
          <w:sz w:val="22"/>
          <w:szCs w:val="22"/>
        </w:rPr>
      </w:pPr>
      <w:r w:rsidRPr="00C109CE">
        <w:rPr>
          <w:color w:val="auto"/>
          <w:sz w:val="22"/>
          <w:szCs w:val="22"/>
        </w:rPr>
        <w:t xml:space="preserve">Where appointees have limited research degree supervision experience at Leeds or are new to the University, the Graduate Board will require the appointee to attend a course on research degree supervision </w:t>
      </w:r>
      <w:proofErr w:type="spellStart"/>
      <w:r w:rsidRPr="00C109CE">
        <w:rPr>
          <w:color w:val="auto"/>
          <w:sz w:val="22"/>
          <w:szCs w:val="22"/>
        </w:rPr>
        <w:t>organised</w:t>
      </w:r>
      <w:proofErr w:type="spellEnd"/>
      <w:r w:rsidRPr="00C109CE">
        <w:rPr>
          <w:color w:val="auto"/>
          <w:sz w:val="22"/>
          <w:szCs w:val="22"/>
        </w:rPr>
        <w:t xml:space="preserve"> by </w:t>
      </w:r>
      <w:r>
        <w:rPr>
          <w:color w:val="auto"/>
          <w:sz w:val="22"/>
          <w:szCs w:val="22"/>
        </w:rPr>
        <w:t>OD&amp;PL</w:t>
      </w:r>
      <w:r w:rsidRPr="00C109CE">
        <w:rPr>
          <w:color w:val="auto"/>
          <w:sz w:val="22"/>
          <w:szCs w:val="22"/>
        </w:rPr>
        <w:t xml:space="preserve"> if they have not already done so. </w:t>
      </w:r>
    </w:p>
    <w:p w14:paraId="54D3C8EF" w14:textId="6CCF0A7D" w:rsidR="00F9022E" w:rsidRDefault="00F9022E" w:rsidP="00F9022E"/>
    <w:p w14:paraId="1B598BEB" w14:textId="791BA63D" w:rsidR="00A03280" w:rsidRPr="00596315" w:rsidRDefault="001C44F7" w:rsidP="00A03280">
      <w:pPr>
        <w:spacing w:after="0" w:line="240" w:lineRule="auto"/>
        <w:rPr>
          <w:rFonts w:cstheme="minorHAnsi"/>
          <w:color w:val="497288" w:themeColor="accent4" w:themeShade="BF"/>
          <w:sz w:val="32"/>
          <w:szCs w:val="32"/>
        </w:rPr>
      </w:pPr>
      <w:r w:rsidRPr="00596315">
        <w:rPr>
          <w:rFonts w:cstheme="minorHAnsi"/>
          <w:b/>
          <w:color w:val="497288" w:themeColor="accent4" w:themeShade="BF"/>
          <w:sz w:val="32"/>
          <w:szCs w:val="32"/>
        </w:rPr>
        <w:t>Key Responsibilities of the Director of Postgraduate Research Studies (DPGRS):</w:t>
      </w:r>
    </w:p>
    <w:p w14:paraId="6413066C" w14:textId="77777777" w:rsidR="00A03280" w:rsidRPr="000B66A2" w:rsidRDefault="00A03280" w:rsidP="00A03280">
      <w:pPr>
        <w:spacing w:after="0" w:line="240" w:lineRule="auto"/>
        <w:rPr>
          <w:rFonts w:ascii="Arial" w:hAnsi="Arial" w:cs="Arial"/>
        </w:rPr>
      </w:pPr>
    </w:p>
    <w:p w14:paraId="6FBCEA66" w14:textId="77777777" w:rsidR="006405B3" w:rsidRDefault="00F9022E" w:rsidP="00F9022E">
      <w:pPr>
        <w:numPr>
          <w:ilvl w:val="0"/>
          <w:numId w:val="8"/>
        </w:numPr>
        <w:spacing w:after="0" w:line="240" w:lineRule="auto"/>
        <w:ind w:left="0"/>
        <w:rPr>
          <w:rFonts w:ascii="Arial" w:hAnsi="Arial" w:cs="Arial"/>
        </w:rPr>
      </w:pPr>
      <w:r w:rsidRPr="000B66A2">
        <w:rPr>
          <w:rFonts w:ascii="Arial" w:hAnsi="Arial" w:cs="Arial"/>
        </w:rPr>
        <w:t xml:space="preserve">The DPGRS has a key strategic and operational role within the </w:t>
      </w:r>
      <w:r w:rsidRPr="00750812">
        <w:rPr>
          <w:rFonts w:ascii="Arial" w:hAnsi="Arial" w:cs="Arial"/>
        </w:rPr>
        <w:t>academic unit,</w:t>
      </w:r>
      <w:r w:rsidRPr="000B66A2">
        <w:rPr>
          <w:rFonts w:ascii="Arial" w:hAnsi="Arial" w:cs="Arial"/>
        </w:rPr>
        <w:t xml:space="preserve"> and as such is normally expected to be a member of the </w:t>
      </w:r>
      <w:r w:rsidRPr="00750812">
        <w:rPr>
          <w:rFonts w:ascii="Arial" w:hAnsi="Arial" w:cs="Arial"/>
        </w:rPr>
        <w:t>unit’s senior</w:t>
      </w:r>
      <w:r w:rsidRPr="000B66A2">
        <w:rPr>
          <w:rFonts w:ascii="Arial" w:hAnsi="Arial" w:cs="Arial"/>
        </w:rPr>
        <w:t xml:space="preserve"> management team or equivalent or to attend meetings on a regular basis for the discussion of relevant items.  </w:t>
      </w:r>
    </w:p>
    <w:p w14:paraId="719F30D7" w14:textId="77777777" w:rsidR="006405B3" w:rsidRDefault="006405B3" w:rsidP="006405B3">
      <w:pPr>
        <w:spacing w:after="0" w:line="240" w:lineRule="auto"/>
        <w:rPr>
          <w:rFonts w:ascii="Arial" w:hAnsi="Arial" w:cs="Arial"/>
        </w:rPr>
      </w:pPr>
    </w:p>
    <w:p w14:paraId="2610CCFD" w14:textId="173D0479" w:rsidR="00DF2253" w:rsidRDefault="00F9022E" w:rsidP="00DF2253">
      <w:pPr>
        <w:numPr>
          <w:ilvl w:val="0"/>
          <w:numId w:val="8"/>
        </w:numPr>
        <w:spacing w:after="0" w:line="240" w:lineRule="auto"/>
        <w:ind w:left="0"/>
        <w:rPr>
          <w:rFonts w:ascii="Arial" w:hAnsi="Arial" w:cs="Arial"/>
        </w:rPr>
      </w:pPr>
      <w:r w:rsidRPr="000B66A2">
        <w:rPr>
          <w:rFonts w:ascii="Arial" w:hAnsi="Arial" w:cs="Arial"/>
        </w:rPr>
        <w:t>The</w:t>
      </w:r>
      <w:r w:rsidR="006405B3">
        <w:rPr>
          <w:rFonts w:ascii="Arial" w:hAnsi="Arial" w:cs="Arial"/>
        </w:rPr>
        <w:t xml:space="preserve"> DPGRS</w:t>
      </w:r>
      <w:r w:rsidRPr="000B66A2">
        <w:rPr>
          <w:rFonts w:ascii="Arial" w:hAnsi="Arial" w:cs="Arial"/>
        </w:rPr>
        <w:t xml:space="preserve"> will contribute to discussions of PGR strategy and policy, participating in annual planning exercises, and leading on recruitment and scholarship matters in support of </w:t>
      </w:r>
      <w:r w:rsidRPr="00750812">
        <w:rPr>
          <w:rFonts w:ascii="Arial" w:hAnsi="Arial" w:cs="Arial"/>
        </w:rPr>
        <w:t>the unit’s strategic objectives for PGR, and will hold overall responsibility for all PGR matters in the unit,</w:t>
      </w:r>
      <w:r w:rsidRPr="000B66A2">
        <w:rPr>
          <w:rFonts w:ascii="Arial" w:hAnsi="Arial" w:cs="Arial"/>
        </w:rPr>
        <w:t xml:space="preserve"> responding, as necessary, to changing UKRI, University, and Faculty policy.</w:t>
      </w:r>
    </w:p>
    <w:p w14:paraId="1AE14623" w14:textId="77777777" w:rsidR="00DF2253" w:rsidRPr="00DF2253" w:rsidRDefault="00DF2253" w:rsidP="00DF2253">
      <w:pPr>
        <w:spacing w:after="0" w:line="240" w:lineRule="auto"/>
        <w:rPr>
          <w:rFonts w:ascii="Arial" w:hAnsi="Arial" w:cs="Arial"/>
        </w:rPr>
      </w:pPr>
    </w:p>
    <w:p w14:paraId="21166D64" w14:textId="172A08A0" w:rsidR="00DF2253" w:rsidRPr="00FC0B5F" w:rsidRDefault="00DF2253" w:rsidP="00DF2253">
      <w:pPr>
        <w:numPr>
          <w:ilvl w:val="0"/>
          <w:numId w:val="8"/>
        </w:numPr>
        <w:spacing w:after="0" w:line="240" w:lineRule="auto"/>
        <w:ind w:left="0"/>
        <w:rPr>
          <w:rFonts w:ascii="Arial" w:hAnsi="Arial" w:cs="Arial"/>
        </w:rPr>
      </w:pPr>
      <w:r w:rsidRPr="00FC0B5F">
        <w:rPr>
          <w:rFonts w:ascii="Arial" w:hAnsi="Arial" w:cs="Arial"/>
        </w:rPr>
        <w:t xml:space="preserve">In addition to membership of the Faculty Graduate School Committee a DPGRS will represent the faculty on </w:t>
      </w:r>
      <w:r w:rsidR="00BA6B91" w:rsidRPr="00FC0B5F">
        <w:rPr>
          <w:rFonts w:ascii="Arial" w:hAnsi="Arial" w:cs="Arial"/>
        </w:rPr>
        <w:t xml:space="preserve">one of </w:t>
      </w:r>
      <w:r w:rsidRPr="00FC0B5F">
        <w:rPr>
          <w:rFonts w:ascii="Arial" w:hAnsi="Arial" w:cs="Arial"/>
        </w:rPr>
        <w:t>the Groups of Graduate Board</w:t>
      </w:r>
      <w:r w:rsidR="00BA6B91" w:rsidRPr="00FC0B5F">
        <w:rPr>
          <w:rFonts w:ascii="Arial" w:hAnsi="Arial" w:cs="Arial"/>
        </w:rPr>
        <w:t xml:space="preserve"> or on a relevant thematic working group </w:t>
      </w:r>
      <w:r w:rsidRPr="00FC0B5F">
        <w:rPr>
          <w:rFonts w:ascii="Arial" w:hAnsi="Arial" w:cs="Arial"/>
        </w:rPr>
        <w:t>.</w:t>
      </w:r>
      <w:r w:rsidR="00BA6B91" w:rsidRPr="00FC0B5F">
        <w:rPr>
          <w:rFonts w:ascii="Arial" w:hAnsi="Arial" w:cs="Arial"/>
        </w:rPr>
        <w:t xml:space="preserve"> </w:t>
      </w:r>
    </w:p>
    <w:p w14:paraId="75A3B04B" w14:textId="77777777" w:rsidR="00DF2253" w:rsidRPr="00DF2253" w:rsidRDefault="00DF2253" w:rsidP="00DF2253">
      <w:pPr>
        <w:spacing w:after="0" w:line="240" w:lineRule="auto"/>
        <w:rPr>
          <w:rFonts w:ascii="Arial" w:hAnsi="Arial" w:cs="Arial"/>
        </w:rPr>
      </w:pPr>
    </w:p>
    <w:p w14:paraId="56141AD7" w14:textId="72307AFD" w:rsidR="006405B3" w:rsidRDefault="00DF2253" w:rsidP="00F9022E">
      <w:pPr>
        <w:numPr>
          <w:ilvl w:val="0"/>
          <w:numId w:val="8"/>
        </w:numPr>
        <w:spacing w:after="0" w:line="240" w:lineRule="auto"/>
        <w:ind w:left="0"/>
        <w:rPr>
          <w:rFonts w:ascii="Arial" w:hAnsi="Arial" w:cs="Arial"/>
        </w:rPr>
      </w:pPr>
      <w:r>
        <w:rPr>
          <w:rFonts w:ascii="Arial" w:hAnsi="Arial" w:cs="Arial"/>
        </w:rPr>
        <w:t>T</w:t>
      </w:r>
      <w:r w:rsidR="00F9022E" w:rsidRPr="000B66A2">
        <w:rPr>
          <w:rFonts w:ascii="Arial" w:hAnsi="Arial" w:cs="Arial"/>
        </w:rPr>
        <w:t>he DPGRS role should include the following key areas (some of which may be delegated to one or more Deputy DPGRS):</w:t>
      </w:r>
    </w:p>
    <w:p w14:paraId="607B95AB" w14:textId="77777777" w:rsidR="006405B3" w:rsidRDefault="006405B3" w:rsidP="006405B3">
      <w:pPr>
        <w:spacing w:after="0" w:line="240" w:lineRule="auto"/>
        <w:rPr>
          <w:rFonts w:cstheme="minorHAnsi"/>
          <w:b/>
          <w:sz w:val="28"/>
          <w:szCs w:val="28"/>
        </w:rPr>
      </w:pPr>
    </w:p>
    <w:p w14:paraId="1AA47CF7" w14:textId="7F865BC5" w:rsidR="00F9022E" w:rsidRPr="00596315" w:rsidRDefault="00F9022E" w:rsidP="006405B3">
      <w:pPr>
        <w:spacing w:after="0" w:line="240" w:lineRule="auto"/>
        <w:rPr>
          <w:rFonts w:ascii="Arial" w:hAnsi="Arial" w:cs="Arial"/>
          <w:color w:val="497288" w:themeColor="accent4" w:themeShade="BF"/>
        </w:rPr>
      </w:pPr>
      <w:r w:rsidRPr="00596315">
        <w:rPr>
          <w:rFonts w:cstheme="minorHAnsi"/>
          <w:b/>
          <w:color w:val="497288" w:themeColor="accent4" w:themeShade="BF"/>
          <w:sz w:val="28"/>
          <w:szCs w:val="28"/>
        </w:rPr>
        <w:t>Admissions Activities</w:t>
      </w:r>
    </w:p>
    <w:p w14:paraId="335AC3CF" w14:textId="77777777" w:rsidR="00F9022E" w:rsidRPr="000B66A2" w:rsidRDefault="00F9022E" w:rsidP="006405B3">
      <w:pPr>
        <w:numPr>
          <w:ilvl w:val="1"/>
          <w:numId w:val="8"/>
        </w:numPr>
        <w:spacing w:after="0" w:line="240" w:lineRule="auto"/>
        <w:ind w:left="397" w:hanging="426"/>
        <w:rPr>
          <w:rFonts w:ascii="Arial" w:hAnsi="Arial" w:cs="Arial"/>
        </w:rPr>
      </w:pPr>
      <w:r w:rsidRPr="000B66A2">
        <w:rPr>
          <w:rFonts w:ascii="Arial" w:hAnsi="Arial" w:cs="Arial"/>
        </w:rPr>
        <w:t>Oversight of admissions processes, including formal approval of the application, supervisory team and research project and, where relevant, scholarship applications.</w:t>
      </w:r>
    </w:p>
    <w:p w14:paraId="3C16A465" w14:textId="6EF2DE3B" w:rsidR="00F9022E" w:rsidRPr="000B66A2" w:rsidRDefault="00F9022E" w:rsidP="006405B3">
      <w:pPr>
        <w:numPr>
          <w:ilvl w:val="1"/>
          <w:numId w:val="8"/>
        </w:numPr>
        <w:spacing w:after="0" w:line="240" w:lineRule="auto"/>
        <w:ind w:left="397" w:hanging="426"/>
        <w:rPr>
          <w:rFonts w:ascii="Arial" w:hAnsi="Arial" w:cs="Arial"/>
        </w:rPr>
      </w:pPr>
      <w:r w:rsidRPr="000B66A2">
        <w:rPr>
          <w:rFonts w:ascii="Arial" w:hAnsi="Arial" w:cs="Arial"/>
        </w:rPr>
        <w:t xml:space="preserve">Enhancement of PGR recruitment and identification of funding sources (working with the unit’s Director of Research &amp; Innovation </w:t>
      </w:r>
      <w:r w:rsidR="00CA2F2D">
        <w:rPr>
          <w:rFonts w:ascii="Arial" w:hAnsi="Arial" w:cs="Arial"/>
        </w:rPr>
        <w:t xml:space="preserve">and liaising with the Faculty Head of Graduate School  </w:t>
      </w:r>
      <w:r w:rsidRPr="000B66A2">
        <w:rPr>
          <w:rFonts w:ascii="Arial" w:hAnsi="Arial" w:cs="Arial"/>
        </w:rPr>
        <w:t>where appropriate).</w:t>
      </w:r>
    </w:p>
    <w:p w14:paraId="4BAD7DC3" w14:textId="77777777" w:rsidR="00F9022E" w:rsidRPr="000B66A2" w:rsidRDefault="00F9022E" w:rsidP="00F9022E">
      <w:pPr>
        <w:rPr>
          <w:rFonts w:ascii="Arial" w:hAnsi="Arial" w:cs="Arial"/>
          <w:b/>
        </w:rPr>
      </w:pPr>
    </w:p>
    <w:p w14:paraId="59BE7383" w14:textId="77777777" w:rsidR="00F9022E" w:rsidRPr="00596315" w:rsidRDefault="00F9022E" w:rsidP="006405B3">
      <w:pPr>
        <w:spacing w:after="0"/>
        <w:rPr>
          <w:rFonts w:cstheme="minorHAnsi"/>
          <w:b/>
          <w:color w:val="497288" w:themeColor="accent4" w:themeShade="BF"/>
          <w:sz w:val="28"/>
          <w:szCs w:val="28"/>
        </w:rPr>
      </w:pPr>
      <w:r w:rsidRPr="00596315">
        <w:rPr>
          <w:rFonts w:cstheme="minorHAnsi"/>
          <w:b/>
          <w:color w:val="497288" w:themeColor="accent4" w:themeShade="BF"/>
          <w:sz w:val="28"/>
          <w:szCs w:val="28"/>
        </w:rPr>
        <w:t>Facilities/Training</w:t>
      </w:r>
    </w:p>
    <w:p w14:paraId="7A6241FA" w14:textId="55AF0960" w:rsidR="00F9022E" w:rsidRPr="000B66A2" w:rsidRDefault="00F9022E" w:rsidP="006405B3">
      <w:pPr>
        <w:numPr>
          <w:ilvl w:val="0"/>
          <w:numId w:val="9"/>
        </w:numPr>
        <w:spacing w:after="0" w:line="240" w:lineRule="auto"/>
        <w:ind w:left="360"/>
        <w:rPr>
          <w:rFonts w:ascii="Arial" w:hAnsi="Arial" w:cs="Arial"/>
        </w:rPr>
      </w:pPr>
      <w:r w:rsidRPr="000B66A2">
        <w:rPr>
          <w:rFonts w:ascii="Arial" w:hAnsi="Arial" w:cs="Arial"/>
        </w:rPr>
        <w:t>Provision of up-to-date and relevant induction materials for PGRs, and oversight of unit-specific training sessions where relevant (liaising with OD&amp;PL and the wider Doctoral College team)</w:t>
      </w:r>
      <w:r w:rsidR="00750812">
        <w:rPr>
          <w:rFonts w:ascii="Arial" w:hAnsi="Arial" w:cs="Arial"/>
        </w:rPr>
        <w:t xml:space="preserve"> </w:t>
      </w:r>
    </w:p>
    <w:p w14:paraId="268A0869" w14:textId="77777777" w:rsidR="00F9022E" w:rsidRPr="000B66A2" w:rsidRDefault="00F9022E" w:rsidP="006405B3">
      <w:pPr>
        <w:numPr>
          <w:ilvl w:val="0"/>
          <w:numId w:val="9"/>
        </w:numPr>
        <w:spacing w:after="0" w:line="240" w:lineRule="auto"/>
        <w:ind w:left="360"/>
        <w:rPr>
          <w:rFonts w:ascii="Arial" w:hAnsi="Arial" w:cs="Arial"/>
        </w:rPr>
      </w:pPr>
      <w:r w:rsidRPr="000B66A2">
        <w:rPr>
          <w:rFonts w:ascii="Arial" w:hAnsi="Arial" w:cs="Arial"/>
        </w:rPr>
        <w:t xml:space="preserve">In conjunction with the Head of School, (including working space, IT, equipment, and technical support) oversight of the provision of appropriate facilities for PGRs. </w:t>
      </w:r>
    </w:p>
    <w:p w14:paraId="18716FE6" w14:textId="5021629E" w:rsidR="00F9022E" w:rsidRPr="000B66A2" w:rsidRDefault="00F9022E" w:rsidP="006405B3">
      <w:pPr>
        <w:numPr>
          <w:ilvl w:val="0"/>
          <w:numId w:val="9"/>
        </w:numPr>
        <w:spacing w:after="0" w:line="240" w:lineRule="auto"/>
        <w:ind w:left="360"/>
        <w:rPr>
          <w:rFonts w:ascii="Arial" w:hAnsi="Arial" w:cs="Arial"/>
        </w:rPr>
      </w:pPr>
      <w:r w:rsidRPr="000B66A2">
        <w:rPr>
          <w:rFonts w:ascii="Arial" w:hAnsi="Arial" w:cs="Arial"/>
        </w:rPr>
        <w:t xml:space="preserve">Oversight of the unit’s compliance with the Code of Practice for PGRs who teach, in liaison with the </w:t>
      </w:r>
      <w:r w:rsidRPr="000B66A2">
        <w:rPr>
          <w:rFonts w:ascii="Arial" w:hAnsi="Arial" w:cs="Arial"/>
          <w:bCs/>
        </w:rPr>
        <w:t>Director</w:t>
      </w:r>
      <w:r w:rsidRPr="000B66A2">
        <w:rPr>
          <w:rFonts w:ascii="Arial" w:hAnsi="Arial" w:cs="Arial"/>
        </w:rPr>
        <w:t xml:space="preserve"> of Student Education</w:t>
      </w:r>
      <w:r w:rsidR="00750812">
        <w:rPr>
          <w:rFonts w:ascii="Arial" w:hAnsi="Arial" w:cs="Arial"/>
        </w:rPr>
        <w:t xml:space="preserve">, including the delivery of training for those PGRs in the school who teach (both mandatory </w:t>
      </w:r>
      <w:r w:rsidR="00B25DB7">
        <w:rPr>
          <w:rFonts w:ascii="Arial" w:hAnsi="Arial" w:cs="Arial"/>
        </w:rPr>
        <w:t xml:space="preserve">generic </w:t>
      </w:r>
      <w:r w:rsidR="00750812">
        <w:rPr>
          <w:rFonts w:ascii="Arial" w:hAnsi="Arial" w:cs="Arial"/>
        </w:rPr>
        <w:t xml:space="preserve">training delivered by OD&amp;PL and school specific training) </w:t>
      </w:r>
      <w:r w:rsidR="00750812" w:rsidRPr="000B66A2">
        <w:rPr>
          <w:rFonts w:ascii="Arial" w:hAnsi="Arial" w:cs="Arial"/>
        </w:rPr>
        <w:t>.</w:t>
      </w:r>
    </w:p>
    <w:p w14:paraId="52DE9688" w14:textId="77777777" w:rsidR="00F9022E" w:rsidRPr="000B66A2" w:rsidRDefault="00F9022E" w:rsidP="006405B3">
      <w:pPr>
        <w:numPr>
          <w:ilvl w:val="0"/>
          <w:numId w:val="9"/>
        </w:numPr>
        <w:spacing w:after="0" w:line="240" w:lineRule="auto"/>
        <w:ind w:left="360"/>
        <w:rPr>
          <w:rFonts w:ascii="Arial" w:hAnsi="Arial" w:cs="Arial"/>
        </w:rPr>
      </w:pPr>
      <w:r w:rsidRPr="000B66A2">
        <w:rPr>
          <w:rFonts w:ascii="Arial" w:hAnsi="Arial" w:cs="Arial"/>
        </w:rPr>
        <w:t xml:space="preserve">Where appropriate, maintenance of unit-level PGR budgets for events and training.  </w:t>
      </w:r>
    </w:p>
    <w:p w14:paraId="4041C04A" w14:textId="6494142E" w:rsidR="00F9022E" w:rsidRDefault="00F9022E" w:rsidP="006405B3">
      <w:pPr>
        <w:numPr>
          <w:ilvl w:val="0"/>
          <w:numId w:val="9"/>
        </w:numPr>
        <w:spacing w:after="0" w:line="240" w:lineRule="auto"/>
        <w:ind w:left="360"/>
        <w:rPr>
          <w:rFonts w:ascii="Arial" w:hAnsi="Arial" w:cs="Arial"/>
        </w:rPr>
      </w:pPr>
      <w:r w:rsidRPr="000B66A2">
        <w:rPr>
          <w:rFonts w:ascii="Arial" w:hAnsi="Arial" w:cs="Arial"/>
        </w:rPr>
        <w:t>Oversight of awareness of unit-specific health and safety issues, including those connected with external visits and fieldwork, and of research ethics and data management among PGRs and supervisors.</w:t>
      </w:r>
    </w:p>
    <w:p w14:paraId="1FD71117" w14:textId="1627ED0E" w:rsidR="006405B3" w:rsidRDefault="006405B3" w:rsidP="006405B3">
      <w:pPr>
        <w:spacing w:after="0" w:line="240" w:lineRule="auto"/>
        <w:ind w:left="283"/>
        <w:rPr>
          <w:rFonts w:ascii="Arial" w:hAnsi="Arial" w:cs="Arial"/>
        </w:rPr>
      </w:pPr>
    </w:p>
    <w:p w14:paraId="14BDF6BA" w14:textId="77777777" w:rsidR="00CA2F2D" w:rsidRPr="000B66A2" w:rsidRDefault="00CA2F2D" w:rsidP="006405B3">
      <w:pPr>
        <w:spacing w:after="0" w:line="240" w:lineRule="auto"/>
        <w:ind w:left="283"/>
        <w:rPr>
          <w:rFonts w:ascii="Arial" w:hAnsi="Arial" w:cs="Arial"/>
        </w:rPr>
      </w:pPr>
    </w:p>
    <w:p w14:paraId="3E0E6410" w14:textId="77777777" w:rsidR="00F9022E" w:rsidRPr="00596315" w:rsidRDefault="00F9022E" w:rsidP="00E21273">
      <w:pPr>
        <w:spacing w:after="0"/>
        <w:rPr>
          <w:rFonts w:cstheme="minorHAnsi"/>
          <w:b/>
          <w:color w:val="497288" w:themeColor="accent4" w:themeShade="BF"/>
          <w:sz w:val="28"/>
          <w:szCs w:val="28"/>
        </w:rPr>
      </w:pPr>
      <w:r w:rsidRPr="00596315">
        <w:rPr>
          <w:rFonts w:cstheme="minorHAnsi"/>
          <w:b/>
          <w:color w:val="497288" w:themeColor="accent4" w:themeShade="BF"/>
          <w:sz w:val="28"/>
          <w:szCs w:val="28"/>
        </w:rPr>
        <w:t>On-Course Support</w:t>
      </w:r>
    </w:p>
    <w:p w14:paraId="492184E4" w14:textId="77777777" w:rsidR="00F9022E" w:rsidRPr="000B66A2" w:rsidRDefault="00F9022E" w:rsidP="00E21273">
      <w:pPr>
        <w:numPr>
          <w:ilvl w:val="0"/>
          <w:numId w:val="10"/>
        </w:numPr>
        <w:spacing w:after="0" w:line="240" w:lineRule="auto"/>
        <w:ind w:left="417"/>
        <w:rPr>
          <w:rFonts w:ascii="Arial" w:hAnsi="Arial" w:cs="Arial"/>
        </w:rPr>
      </w:pPr>
      <w:r w:rsidRPr="000B66A2">
        <w:rPr>
          <w:rFonts w:ascii="Arial" w:hAnsi="Arial" w:cs="Arial"/>
        </w:rPr>
        <w:t xml:space="preserve">Oversight of </w:t>
      </w:r>
      <w:r w:rsidRPr="000B66A2">
        <w:rPr>
          <w:rFonts w:ascii="Arial" w:hAnsi="Arial" w:cs="Arial"/>
          <w:color w:val="000000"/>
        </w:rPr>
        <w:t>matters relating to registration, progression, suspensions and extensions of study within the academic unit.</w:t>
      </w:r>
    </w:p>
    <w:p w14:paraId="25F3F8D2" w14:textId="77777777" w:rsidR="00F9022E" w:rsidRPr="000B66A2" w:rsidRDefault="00F9022E" w:rsidP="00E21273">
      <w:pPr>
        <w:numPr>
          <w:ilvl w:val="0"/>
          <w:numId w:val="10"/>
        </w:numPr>
        <w:spacing w:after="0" w:line="240" w:lineRule="auto"/>
        <w:ind w:left="417"/>
        <w:rPr>
          <w:rFonts w:ascii="Arial" w:hAnsi="Arial" w:cs="Arial"/>
        </w:rPr>
      </w:pPr>
      <w:r w:rsidRPr="000B66A2">
        <w:rPr>
          <w:rFonts w:ascii="Arial" w:hAnsi="Arial" w:cs="Arial"/>
        </w:rPr>
        <w:t>Oversight of supervisory arrangements within the academic unit, including ensuring the keeping of accurate records on GRAD and following up any cases where regular meetings appear not to be taking place.</w:t>
      </w:r>
    </w:p>
    <w:p w14:paraId="1B9D4989" w14:textId="77777777" w:rsidR="00F9022E" w:rsidRPr="000B66A2" w:rsidRDefault="00F9022E" w:rsidP="00E21273">
      <w:pPr>
        <w:numPr>
          <w:ilvl w:val="0"/>
          <w:numId w:val="10"/>
        </w:numPr>
        <w:spacing w:after="0" w:line="240" w:lineRule="auto"/>
        <w:ind w:left="417"/>
        <w:rPr>
          <w:rFonts w:ascii="Arial" w:hAnsi="Arial" w:cs="Arial"/>
        </w:rPr>
      </w:pPr>
      <w:r w:rsidRPr="000B66A2">
        <w:rPr>
          <w:rFonts w:ascii="Arial" w:hAnsi="Arial" w:cs="Arial"/>
        </w:rPr>
        <w:t>Review of progress reports and acting upon any unsatisfactory reports received.</w:t>
      </w:r>
    </w:p>
    <w:p w14:paraId="7C1ADDEA" w14:textId="77777777" w:rsidR="00F9022E" w:rsidRPr="00750812" w:rsidRDefault="00F9022E" w:rsidP="00E21273">
      <w:pPr>
        <w:numPr>
          <w:ilvl w:val="0"/>
          <w:numId w:val="10"/>
        </w:numPr>
        <w:spacing w:after="0" w:line="240" w:lineRule="auto"/>
        <w:ind w:left="417"/>
        <w:rPr>
          <w:rFonts w:ascii="Arial" w:hAnsi="Arial" w:cs="Arial"/>
        </w:rPr>
      </w:pPr>
      <w:r w:rsidRPr="00750812">
        <w:rPr>
          <w:rFonts w:ascii="Arial" w:hAnsi="Arial" w:cs="Arial"/>
        </w:rPr>
        <w:t xml:space="preserve">Provision of pastoral support where required, by offering all PGRs the opportunity for an annual meeting, and by acting as a first point of contact for PGRs with complaints, advising on University procedure as appropriate </w:t>
      </w:r>
    </w:p>
    <w:p w14:paraId="2DC04F59" w14:textId="77777777" w:rsidR="00F9022E" w:rsidRPr="000B66A2" w:rsidRDefault="00F9022E" w:rsidP="00E21273">
      <w:pPr>
        <w:numPr>
          <w:ilvl w:val="0"/>
          <w:numId w:val="10"/>
        </w:numPr>
        <w:spacing w:after="0" w:line="240" w:lineRule="auto"/>
        <w:ind w:left="417"/>
        <w:rPr>
          <w:rFonts w:ascii="Arial" w:hAnsi="Arial" w:cs="Arial"/>
        </w:rPr>
      </w:pPr>
      <w:r w:rsidRPr="000B66A2">
        <w:rPr>
          <w:rFonts w:ascii="Arial" w:hAnsi="Arial" w:cs="Arial"/>
        </w:rPr>
        <w:t>Provision of support to supervisors on issues of difficulty that may arise with PGRs and advising on situations where it may become necessary to request a suspension or extension of study for a PGR, as appropriate.</w:t>
      </w:r>
    </w:p>
    <w:p w14:paraId="45B0CE31" w14:textId="77777777" w:rsidR="00F9022E" w:rsidRPr="00750812" w:rsidRDefault="00F9022E" w:rsidP="00E21273">
      <w:pPr>
        <w:numPr>
          <w:ilvl w:val="0"/>
          <w:numId w:val="10"/>
        </w:numPr>
        <w:spacing w:after="0" w:line="240" w:lineRule="auto"/>
        <w:ind w:left="417"/>
        <w:rPr>
          <w:rFonts w:ascii="Arial" w:hAnsi="Arial" w:cs="Arial"/>
        </w:rPr>
      </w:pPr>
      <w:r w:rsidRPr="00750812">
        <w:rPr>
          <w:rFonts w:ascii="Arial" w:hAnsi="Arial" w:cs="Arial"/>
        </w:rPr>
        <w:t>Liaison with PGR reps and chairing of unit PGR committee where this exists.</w:t>
      </w:r>
    </w:p>
    <w:p w14:paraId="2AE304DE" w14:textId="77777777" w:rsidR="00F9022E" w:rsidRPr="00750812" w:rsidRDefault="00F9022E" w:rsidP="00E21273">
      <w:pPr>
        <w:numPr>
          <w:ilvl w:val="0"/>
          <w:numId w:val="10"/>
        </w:numPr>
        <w:spacing w:after="0" w:line="240" w:lineRule="auto"/>
        <w:ind w:left="417"/>
        <w:rPr>
          <w:rFonts w:ascii="Arial" w:hAnsi="Arial" w:cs="Arial"/>
        </w:rPr>
      </w:pPr>
      <w:r w:rsidRPr="00750812">
        <w:rPr>
          <w:rFonts w:ascii="Arial" w:hAnsi="Arial" w:cs="Arial"/>
        </w:rPr>
        <w:t>Review of all cases of termination of study.</w:t>
      </w:r>
    </w:p>
    <w:p w14:paraId="623E9509" w14:textId="77777777" w:rsidR="00F9022E" w:rsidRPr="000B66A2" w:rsidRDefault="00F9022E" w:rsidP="00E21273">
      <w:pPr>
        <w:numPr>
          <w:ilvl w:val="0"/>
          <w:numId w:val="10"/>
        </w:numPr>
        <w:spacing w:after="0" w:line="240" w:lineRule="auto"/>
        <w:ind w:left="417"/>
        <w:rPr>
          <w:rFonts w:ascii="Arial" w:hAnsi="Arial" w:cs="Arial"/>
        </w:rPr>
      </w:pPr>
      <w:r w:rsidRPr="000B66A2">
        <w:rPr>
          <w:rFonts w:ascii="Arial" w:hAnsi="Arial" w:cs="Arial"/>
        </w:rPr>
        <w:t xml:space="preserve">Advising on the appointment of final examiners in consultation with supervisors, oversight of appropriate implementation of examination procedures, and signing off examination entry and examiners’ report forms. </w:t>
      </w:r>
    </w:p>
    <w:p w14:paraId="15E852B0" w14:textId="77777777" w:rsidR="00F9022E" w:rsidRPr="000B66A2" w:rsidRDefault="00F9022E" w:rsidP="00F9022E">
      <w:pPr>
        <w:rPr>
          <w:rFonts w:ascii="Arial" w:hAnsi="Arial" w:cs="Arial"/>
        </w:rPr>
      </w:pPr>
    </w:p>
    <w:p w14:paraId="0CB8EA4E" w14:textId="77777777" w:rsidR="00F9022E" w:rsidRPr="00596315" w:rsidRDefault="00F9022E" w:rsidP="00E21273">
      <w:pPr>
        <w:spacing w:after="0"/>
        <w:rPr>
          <w:rFonts w:cstheme="minorHAnsi"/>
          <w:b/>
          <w:color w:val="497288" w:themeColor="accent4" w:themeShade="BF"/>
          <w:sz w:val="28"/>
          <w:szCs w:val="28"/>
        </w:rPr>
      </w:pPr>
      <w:r w:rsidRPr="00596315">
        <w:rPr>
          <w:rFonts w:cstheme="minorHAnsi"/>
          <w:b/>
          <w:color w:val="497288" w:themeColor="accent4" w:themeShade="BF"/>
          <w:sz w:val="28"/>
          <w:szCs w:val="28"/>
        </w:rPr>
        <w:t>Policy/Procedural</w:t>
      </w:r>
    </w:p>
    <w:p w14:paraId="35E31B1E" w14:textId="77777777" w:rsidR="006405B3" w:rsidRDefault="00F9022E" w:rsidP="00E21273">
      <w:pPr>
        <w:numPr>
          <w:ilvl w:val="0"/>
          <w:numId w:val="11"/>
        </w:numPr>
        <w:spacing w:after="0" w:line="240" w:lineRule="auto"/>
        <w:ind w:left="417"/>
        <w:rPr>
          <w:rFonts w:ascii="Arial" w:hAnsi="Arial" w:cs="Arial"/>
        </w:rPr>
      </w:pPr>
      <w:r w:rsidRPr="000B66A2">
        <w:rPr>
          <w:rFonts w:ascii="Arial" w:hAnsi="Arial" w:cs="Arial"/>
        </w:rPr>
        <w:t>Liaison with the Faculty Graduate School Office and with the Doctoral College Operations team.</w:t>
      </w:r>
    </w:p>
    <w:p w14:paraId="29D6CC4C" w14:textId="2FD7AFB3" w:rsidR="00F9022E" w:rsidRPr="006405B3" w:rsidRDefault="00F9022E" w:rsidP="00E21273">
      <w:pPr>
        <w:numPr>
          <w:ilvl w:val="0"/>
          <w:numId w:val="11"/>
        </w:numPr>
        <w:spacing w:after="0" w:line="240" w:lineRule="auto"/>
        <w:ind w:left="417"/>
        <w:rPr>
          <w:rStyle w:val="FootnoteReference"/>
          <w:rFonts w:ascii="Arial" w:hAnsi="Arial" w:cs="Arial"/>
          <w:vertAlign w:val="baseline"/>
        </w:rPr>
      </w:pPr>
      <w:r w:rsidRPr="006405B3">
        <w:rPr>
          <w:rFonts w:ascii="Arial" w:hAnsi="Arial" w:cs="Arial"/>
        </w:rPr>
        <w:t xml:space="preserve">Approval of recommendations for the appointment of supervisors (and advisors where relevant) in accordance with the </w:t>
      </w:r>
      <w:hyperlink r:id="rId8" w:history="1">
        <w:r w:rsidRPr="0011427A">
          <w:rPr>
            <w:rStyle w:val="Hyperlink"/>
            <w:rFonts w:ascii="Arial" w:hAnsi="Arial" w:cs="Arial"/>
          </w:rPr>
          <w:t>University’s Code of Practice</w:t>
        </w:r>
      </w:hyperlink>
      <w:r w:rsidRPr="006405B3">
        <w:rPr>
          <w:rFonts w:ascii="Arial" w:hAnsi="Arial" w:cs="Arial"/>
        </w:rPr>
        <w:t>.</w:t>
      </w:r>
    </w:p>
    <w:p w14:paraId="2AA76BB5" w14:textId="03A7DE08" w:rsidR="00F9022E" w:rsidRPr="000B66A2" w:rsidRDefault="00F9022E" w:rsidP="00E21273">
      <w:pPr>
        <w:numPr>
          <w:ilvl w:val="0"/>
          <w:numId w:val="11"/>
        </w:numPr>
        <w:spacing w:after="0" w:line="240" w:lineRule="auto"/>
        <w:ind w:left="417"/>
        <w:rPr>
          <w:rFonts w:ascii="Arial" w:hAnsi="Arial" w:cs="Arial"/>
        </w:rPr>
      </w:pPr>
      <w:r w:rsidRPr="000B66A2">
        <w:rPr>
          <w:rFonts w:ascii="Arial" w:hAnsi="Arial" w:cs="Arial"/>
        </w:rPr>
        <w:t>Serving, as required, on one of the groups of the Graduate Board.</w:t>
      </w:r>
    </w:p>
    <w:p w14:paraId="73DBBC0B" w14:textId="77777777" w:rsidR="00F9022E" w:rsidRPr="000B66A2" w:rsidRDefault="00F9022E" w:rsidP="00E21273">
      <w:pPr>
        <w:numPr>
          <w:ilvl w:val="0"/>
          <w:numId w:val="11"/>
        </w:numPr>
        <w:spacing w:after="0" w:line="240" w:lineRule="auto"/>
        <w:ind w:left="417"/>
        <w:rPr>
          <w:rFonts w:ascii="Arial" w:hAnsi="Arial" w:cs="Arial"/>
        </w:rPr>
      </w:pPr>
      <w:r w:rsidRPr="000B66A2">
        <w:rPr>
          <w:rFonts w:ascii="Arial" w:hAnsi="Arial" w:cs="Arial"/>
        </w:rPr>
        <w:t>Oversight of the administration of the Postgraduate Research Experience Survey (PRES) and of the biennial internal PGR analysis exercise, of communication of outcomes, and of the drawing-up of action plans.</w:t>
      </w:r>
    </w:p>
    <w:p w14:paraId="0EF63BF4" w14:textId="77777777" w:rsidR="00F9022E" w:rsidRPr="000B66A2" w:rsidRDefault="00F9022E" w:rsidP="006405B3">
      <w:pPr>
        <w:rPr>
          <w:rFonts w:ascii="Arial" w:hAnsi="Arial" w:cs="Arial"/>
        </w:rPr>
      </w:pPr>
    </w:p>
    <w:p w14:paraId="1766B930" w14:textId="77777777" w:rsidR="00F9022E" w:rsidRPr="00FC0B5F" w:rsidRDefault="00F9022E" w:rsidP="00F9022E">
      <w:pPr>
        <w:numPr>
          <w:ilvl w:val="0"/>
          <w:numId w:val="8"/>
        </w:numPr>
        <w:spacing w:after="0" w:line="240" w:lineRule="auto"/>
        <w:ind w:left="0"/>
        <w:rPr>
          <w:rFonts w:ascii="Arial" w:hAnsi="Arial" w:cs="Arial"/>
        </w:rPr>
      </w:pPr>
      <w:r w:rsidRPr="000B66A2">
        <w:rPr>
          <w:rFonts w:ascii="Arial" w:hAnsi="Arial" w:cs="Arial"/>
        </w:rPr>
        <w:t xml:space="preserve">The DPGRS is expected to maintain her or his knowledge of PGR matters (including University regulations, procedures and processes) by attending appropriate training events and </w:t>
      </w:r>
      <w:r w:rsidRPr="00FC0B5F">
        <w:rPr>
          <w:rFonts w:ascii="Arial" w:hAnsi="Arial" w:cs="Arial"/>
        </w:rPr>
        <w:t>the Doctoral College Forum meetings.</w:t>
      </w:r>
    </w:p>
    <w:p w14:paraId="5ADB2D18" w14:textId="77777777" w:rsidR="00F9022E" w:rsidRPr="000B66A2" w:rsidRDefault="00F9022E" w:rsidP="00F9022E">
      <w:pPr>
        <w:rPr>
          <w:rFonts w:ascii="Arial" w:hAnsi="Arial" w:cs="Arial"/>
        </w:rPr>
      </w:pPr>
    </w:p>
    <w:p w14:paraId="255DD693" w14:textId="77777777" w:rsidR="00F9022E" w:rsidRPr="000B66A2" w:rsidRDefault="00F9022E" w:rsidP="00F9022E">
      <w:pPr>
        <w:numPr>
          <w:ilvl w:val="0"/>
          <w:numId w:val="8"/>
        </w:numPr>
        <w:spacing w:after="0" w:line="240" w:lineRule="auto"/>
        <w:ind w:left="0"/>
        <w:rPr>
          <w:rFonts w:ascii="Arial" w:hAnsi="Arial" w:cs="Arial"/>
        </w:rPr>
      </w:pPr>
      <w:r w:rsidRPr="000B66A2">
        <w:rPr>
          <w:rFonts w:ascii="Arial" w:hAnsi="Arial" w:cs="Arial"/>
        </w:rPr>
        <w:t>The DPGRS should be prepared to undertake other duties relevant to her or his role as directed by the Head of the relevant academic unit or the Head of the Faculty Graduate School.</w:t>
      </w:r>
    </w:p>
    <w:p w14:paraId="68E1C114" w14:textId="77777777" w:rsidR="00F9022E" w:rsidRPr="000B66A2" w:rsidRDefault="00F9022E" w:rsidP="00F9022E">
      <w:pPr>
        <w:rPr>
          <w:rFonts w:ascii="Arial" w:hAnsi="Arial" w:cs="Arial"/>
        </w:rPr>
      </w:pPr>
    </w:p>
    <w:p w14:paraId="37B8FB33" w14:textId="74B1015C" w:rsidR="00F9022E" w:rsidRPr="00596315" w:rsidRDefault="00F9022E" w:rsidP="00596315">
      <w:pPr>
        <w:spacing w:after="0"/>
        <w:rPr>
          <w:rFonts w:cstheme="minorHAnsi"/>
          <w:b/>
          <w:bCs/>
          <w:color w:val="497288" w:themeColor="accent4" w:themeShade="BF"/>
          <w:sz w:val="32"/>
          <w:szCs w:val="32"/>
        </w:rPr>
      </w:pPr>
      <w:r w:rsidRPr="00596315">
        <w:rPr>
          <w:rFonts w:cstheme="minorHAnsi"/>
          <w:b/>
          <w:bCs/>
          <w:color w:val="497288" w:themeColor="accent4" w:themeShade="BF"/>
          <w:sz w:val="32"/>
          <w:szCs w:val="32"/>
        </w:rPr>
        <w:t>Deputy Director of Postgraduate Research Studies: Role Description</w:t>
      </w:r>
      <w:r w:rsidR="00BF5739" w:rsidRPr="00596315">
        <w:rPr>
          <w:rFonts w:cstheme="minorHAnsi"/>
          <w:b/>
          <w:bCs/>
          <w:color w:val="497288" w:themeColor="accent4" w:themeShade="BF"/>
          <w:sz w:val="32"/>
          <w:szCs w:val="32"/>
        </w:rPr>
        <w:t xml:space="preserve"> </w:t>
      </w:r>
    </w:p>
    <w:p w14:paraId="1398D7A4" w14:textId="77777777" w:rsidR="00F9022E" w:rsidRPr="000B66A2" w:rsidRDefault="00F9022E" w:rsidP="00F9022E">
      <w:pPr>
        <w:numPr>
          <w:ilvl w:val="0"/>
          <w:numId w:val="8"/>
        </w:numPr>
        <w:spacing w:after="0" w:line="240" w:lineRule="auto"/>
        <w:ind w:left="0"/>
        <w:rPr>
          <w:rFonts w:ascii="Arial" w:hAnsi="Arial" w:cs="Arial"/>
        </w:rPr>
      </w:pPr>
      <w:r w:rsidRPr="000B66A2">
        <w:rPr>
          <w:rFonts w:ascii="Arial" w:hAnsi="Arial" w:cs="Arial"/>
        </w:rPr>
        <w:t>A Deputy DPGRS should be appointed where a unit has more than 50 PGRs.  In this case the Deputy DPGRS should take pastoral responsibility for a clearly defined group of PGRs within the unit.</w:t>
      </w:r>
    </w:p>
    <w:p w14:paraId="69956FEA" w14:textId="77777777" w:rsidR="00F9022E" w:rsidRPr="000B66A2" w:rsidRDefault="00F9022E" w:rsidP="00F9022E">
      <w:pPr>
        <w:rPr>
          <w:rFonts w:ascii="Arial" w:hAnsi="Arial" w:cs="Arial"/>
        </w:rPr>
      </w:pPr>
    </w:p>
    <w:p w14:paraId="24D765A4" w14:textId="1CED594F" w:rsidR="00F9022E" w:rsidRPr="00100FAF" w:rsidRDefault="00F9022E" w:rsidP="00100FAF">
      <w:pPr>
        <w:numPr>
          <w:ilvl w:val="0"/>
          <w:numId w:val="8"/>
        </w:numPr>
        <w:spacing w:after="0" w:line="240" w:lineRule="auto"/>
        <w:ind w:left="0"/>
        <w:rPr>
          <w:rFonts w:ascii="Arial" w:hAnsi="Arial" w:cs="Arial"/>
        </w:rPr>
      </w:pPr>
      <w:r w:rsidRPr="000B66A2">
        <w:rPr>
          <w:rFonts w:ascii="Arial" w:hAnsi="Arial" w:cs="Arial"/>
        </w:rPr>
        <w:t xml:space="preserve">A Deputy DPGRS may also have oversight of one or more of the other areas listed under </w:t>
      </w:r>
      <w:r w:rsidR="00100FAF">
        <w:rPr>
          <w:rFonts w:ascii="Arial" w:hAnsi="Arial" w:cs="Arial"/>
        </w:rPr>
        <w:t>4</w:t>
      </w:r>
      <w:r w:rsidRPr="000B66A2">
        <w:rPr>
          <w:rFonts w:ascii="Arial" w:hAnsi="Arial" w:cs="Arial"/>
        </w:rPr>
        <w:t>, above, such as admissions, progress, or support</w:t>
      </w:r>
      <w:r w:rsidR="00100FAF" w:rsidRPr="000B66A2">
        <w:rPr>
          <w:rFonts w:ascii="Arial" w:hAnsi="Arial" w:cs="Arial"/>
        </w:rPr>
        <w:t>.</w:t>
      </w:r>
      <w:r w:rsidR="00345B52">
        <w:rPr>
          <w:rFonts w:ascii="Arial" w:hAnsi="Arial" w:cs="Arial"/>
        </w:rPr>
        <w:t xml:space="preserve"> </w:t>
      </w:r>
      <w:r w:rsidR="00345B52" w:rsidRPr="00E13772">
        <w:rPr>
          <w:rFonts w:ascii="Arial" w:hAnsi="Arial" w:cs="Arial"/>
        </w:rPr>
        <w:t xml:space="preserve">In this regard the Deputy DPGRS </w:t>
      </w:r>
      <w:r w:rsidR="006D3E0D" w:rsidRPr="00E13772">
        <w:rPr>
          <w:rFonts w:ascii="Arial" w:hAnsi="Arial" w:cs="Arial"/>
        </w:rPr>
        <w:t>can</w:t>
      </w:r>
      <w:r w:rsidR="00345B52" w:rsidRPr="00E13772">
        <w:rPr>
          <w:rFonts w:ascii="Arial" w:hAnsi="Arial" w:cs="Arial"/>
        </w:rPr>
        <w:t xml:space="preserve"> represent the faculty on one of the Groups of Graduate Board or on a relevant thematic working group .</w:t>
      </w:r>
      <w:r w:rsidR="00345B52">
        <w:rPr>
          <w:rFonts w:ascii="Arial" w:hAnsi="Arial" w:cs="Arial"/>
        </w:rPr>
        <w:t xml:space="preserve">  The  s</w:t>
      </w:r>
      <w:r w:rsidR="00345B52" w:rsidRPr="000B66A2">
        <w:rPr>
          <w:rFonts w:ascii="Arial" w:hAnsi="Arial" w:cs="Arial"/>
        </w:rPr>
        <w:t xml:space="preserve">trategic oversight of PGR </w:t>
      </w:r>
      <w:r w:rsidR="00345B52">
        <w:rPr>
          <w:rFonts w:ascii="Arial" w:hAnsi="Arial" w:cs="Arial"/>
        </w:rPr>
        <w:t>(</w:t>
      </w:r>
      <w:r w:rsidR="00345B52" w:rsidRPr="000B66A2">
        <w:rPr>
          <w:rFonts w:ascii="Arial" w:hAnsi="Arial" w:cs="Arial"/>
        </w:rPr>
        <w:t>within the unit</w:t>
      </w:r>
      <w:r w:rsidR="00345B52">
        <w:rPr>
          <w:rFonts w:ascii="Arial" w:hAnsi="Arial" w:cs="Arial"/>
        </w:rPr>
        <w:t>)</w:t>
      </w:r>
      <w:r w:rsidR="00345B52" w:rsidRPr="000B66A2">
        <w:rPr>
          <w:rFonts w:ascii="Arial" w:hAnsi="Arial" w:cs="Arial"/>
        </w:rPr>
        <w:t xml:space="preserve"> rests with the DPGRS</w:t>
      </w:r>
      <w:r w:rsidR="00345B52">
        <w:rPr>
          <w:rFonts w:ascii="Arial" w:hAnsi="Arial" w:cs="Arial"/>
        </w:rPr>
        <w:t>.</w:t>
      </w:r>
    </w:p>
    <w:p w14:paraId="50B8A164" w14:textId="77777777" w:rsidR="00F9022E" w:rsidRPr="00100FAF" w:rsidRDefault="00F9022E" w:rsidP="00100FAF">
      <w:pPr>
        <w:rPr>
          <w:rFonts w:ascii="Arial" w:hAnsi="Arial" w:cs="Arial"/>
        </w:rPr>
      </w:pPr>
    </w:p>
    <w:sectPr w:rsidR="00F9022E" w:rsidRPr="00100FAF" w:rsidSect="00074A57">
      <w:headerReference w:type="default" r:id="rId9"/>
      <w:pgSz w:w="11906" w:h="16838"/>
      <w:pgMar w:top="794" w:right="1021" w:bottom="68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17361" w14:textId="77777777" w:rsidR="00D122C8" w:rsidRDefault="00D122C8" w:rsidP="00D122C8">
      <w:pPr>
        <w:spacing w:after="0" w:line="240" w:lineRule="auto"/>
      </w:pPr>
      <w:r>
        <w:separator/>
      </w:r>
    </w:p>
  </w:endnote>
  <w:endnote w:type="continuationSeparator" w:id="0">
    <w:p w14:paraId="7FD097FD" w14:textId="77777777" w:rsidR="00D122C8" w:rsidRDefault="00D122C8" w:rsidP="00D1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1425D" w14:textId="77777777" w:rsidR="00D122C8" w:rsidRDefault="00D122C8" w:rsidP="00D122C8">
      <w:pPr>
        <w:spacing w:after="0" w:line="240" w:lineRule="auto"/>
      </w:pPr>
      <w:r>
        <w:separator/>
      </w:r>
    </w:p>
  </w:footnote>
  <w:footnote w:type="continuationSeparator" w:id="0">
    <w:p w14:paraId="68C6D84E" w14:textId="77777777" w:rsidR="00D122C8" w:rsidRDefault="00D122C8" w:rsidP="00D122C8">
      <w:pPr>
        <w:spacing w:after="0" w:line="240" w:lineRule="auto"/>
      </w:pPr>
      <w:r>
        <w:continuationSeparator/>
      </w:r>
    </w:p>
  </w:footnote>
  <w:footnote w:id="1">
    <w:p w14:paraId="2642C7FB" w14:textId="77777777" w:rsidR="00DF1908" w:rsidRPr="003F5C76" w:rsidRDefault="00DF1908" w:rsidP="00DF1908">
      <w:pPr>
        <w:pStyle w:val="FootnoteText"/>
        <w:rPr>
          <w:lang w:val="en-GB"/>
        </w:rPr>
      </w:pPr>
      <w:r w:rsidRPr="0049725C">
        <w:rPr>
          <w:rStyle w:val="FootnoteReference"/>
        </w:rPr>
        <w:footnoteRef/>
      </w:r>
      <w:r w:rsidRPr="0049725C">
        <w:t xml:space="preserve"> </w:t>
      </w:r>
      <w:r w:rsidRPr="0049725C">
        <w:rPr>
          <w:lang w:val="en-GB"/>
        </w:rPr>
        <w:t>An academic unit is normally a School, but may also be an Institute or Division, where the School or Faculty organises itself into identifiable sub-areas, and where numbers of PGRs justify such sub-division.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6D8C" w14:textId="2ED29BFC" w:rsidR="00140D98" w:rsidRDefault="00140D98">
    <w:pPr>
      <w:pStyle w:val="Header"/>
    </w:pPr>
    <w:r>
      <w:rPr>
        <w:noProof/>
      </w:rPr>
      <mc:AlternateContent>
        <mc:Choice Requires="wps">
          <w:drawing>
            <wp:anchor distT="0" distB="0" distL="114300" distR="114300" simplePos="0" relativeHeight="251659264" behindDoc="0" locked="0" layoutInCell="1" allowOverlap="1" wp14:anchorId="5D2F8527" wp14:editId="78CA07DB">
              <wp:simplePos x="0" y="0"/>
              <wp:positionH relativeFrom="page">
                <wp:align>left</wp:align>
              </wp:positionH>
              <wp:positionV relativeFrom="paragraph">
                <wp:posOffset>-449580</wp:posOffset>
              </wp:positionV>
              <wp:extent cx="7607300" cy="3302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7607300" cy="330200"/>
                      </a:xfrm>
                      <a:prstGeom prst="rect">
                        <a:avLst/>
                      </a:prstGeom>
                      <a:solidFill>
                        <a:srgbClr val="84ACB6">
                          <a:lumMod val="50000"/>
                        </a:srgbClr>
                      </a:solidFill>
                      <a:ln w="12700" cap="flat" cmpd="sng" algn="ctr">
                        <a:solidFill>
                          <a:srgbClr val="AD84C6">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581EADE4" id="Rectangle 7" o:spid="_x0000_s1026" style="position:absolute;margin-left:0;margin-top:-35.4pt;width:599pt;height:2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ExcgIAAA4FAAAOAAAAZHJzL2Uyb0RvYy54bWysVEtv2zAMvg/YfxB0X+2kWdMFdYosQYcB&#10;XVugHXpmZCk2oNcoJU7360fJTtN2u2yYD7IoUnx8/KiLy73RbCcxtM5WfHRSciatcHVrNxX//nD1&#10;4ZyzEMHWoJ2VFX+SgV/O37+76PxMjl3jdC2RkRMbZp2veBOjnxVFEI00EE6cl5aUyqGBSCJuihqh&#10;I+9GF+OyPCs6h7VHJ2QIdLrqlXye/SslRbxVKsjIdMUpt5hXzOs6rcX8AmYbBN+0YkgD/iELA62l&#10;oM+uVhCBbbH9zZVpBbrgVDwRzhROqVbIXANVMyrfVHPfgJe5FgIn+GeYwv9zK2529/4OCYbOh1mg&#10;bapir9CkP+XH9hmsp2ew5D4yQYfTs3J6WhKmgnSnpyV1I6FZHG97DPGLdIalTcWRmpExgt11iL3p&#10;wSQFC0639VWrdRZws15qZDugxp1PFsvPZ/mu3ppvru6PP5b0DTFDb5/jv3KkLeuImONpThWIYkpD&#10;pKyNryse7IYz0BviroiYI7y6Pbjt4y1W55Nln0ZooJZ/kUWqcwWh6a/kED31TBuJ/7o1VGUq51CP&#10;tgkFmRk8oHVsUNqtXf10hwxdT+ngxVVLQa4hxDtA4jB1huYy3tKitCMM3LDjrHH480/nyZ6oRVrO&#10;OpoJwufHFlBypr9aIt2n0WSShigLk4/TMQn4UrN+qbFbs3TUvRG9AF7kbbKP+rBV6Mwjje8iRSUV&#10;WEGx+04MwjL2s0oPgJCLRTajwfEQr+29F8l5winB+7B/BPQD1yKx9MYd5gdmbyjX26ab1i220ak2&#10;8/GIK/EoCTR0mVHDA5Gm+qWcrY7P2PwXAAAA//8DAFBLAwQUAAYACAAAACEAHT2D0t4AAAAJAQAA&#10;DwAAAGRycy9kb3ducmV2LnhtbEyPwWrDMBBE74X+g9hCb4nsBFrFtRxKIZdCQ5oEepWtrW1irYwl&#10;x+7fd3NqjzszzM7Lt7PrxBWH0HrSkC4TEEiVty3VGs6n3UKBCNGQNZ0n1PCDAbbF/V1uMusn+sTr&#10;MdaCSyhkRkMTY59JGaoGnQlL3yOx9+0HZyKfQy3tYCYud51cJcmTdKYl/tCYHt8arC7H0Wk47C9t&#10;OX3sSqXevzar9Xp/qg6j1o8P8+sLiIhz/AvDbT5Ph4I3lX4kG0SngUGihsVzwgA3O90olkqWUqVA&#10;Frn8T1D8AgAA//8DAFBLAQItABQABgAIAAAAIQC2gziS/gAAAOEBAAATAAAAAAAAAAAAAAAAAAAA&#10;AABbQ29udGVudF9UeXBlc10ueG1sUEsBAi0AFAAGAAgAAAAhADj9If/WAAAAlAEAAAsAAAAAAAAA&#10;AAAAAAAALwEAAF9yZWxzLy5yZWxzUEsBAi0AFAAGAAgAAAAhAPXycTFyAgAADgUAAA4AAAAAAAAA&#10;AAAAAAAALgIAAGRycy9lMm9Eb2MueG1sUEsBAi0AFAAGAAgAAAAhAB09g9LeAAAACQEAAA8AAAAA&#10;AAAAAAAAAAAAzAQAAGRycy9kb3ducmV2LnhtbFBLBQYAAAAABAAEAPMAAADXBQAAAAA=&#10;" fillcolor="#3a5b63" strokecolor="#7e5f91"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2CD8"/>
    <w:multiLevelType w:val="hybridMultilevel"/>
    <w:tmpl w:val="40320E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8A780F"/>
    <w:multiLevelType w:val="hybridMultilevel"/>
    <w:tmpl w:val="3E247AF4"/>
    <w:lvl w:ilvl="0" w:tplc="31C846B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A2D90"/>
    <w:multiLevelType w:val="hybridMultilevel"/>
    <w:tmpl w:val="97D8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26B48"/>
    <w:multiLevelType w:val="hybridMultilevel"/>
    <w:tmpl w:val="6DE69F8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D70C73"/>
    <w:multiLevelType w:val="hybridMultilevel"/>
    <w:tmpl w:val="E24CFD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6E1E15"/>
    <w:multiLevelType w:val="hybridMultilevel"/>
    <w:tmpl w:val="773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205C2"/>
    <w:multiLevelType w:val="hybridMultilevel"/>
    <w:tmpl w:val="40320E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F8339BD"/>
    <w:multiLevelType w:val="hybridMultilevel"/>
    <w:tmpl w:val="6716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42525"/>
    <w:multiLevelType w:val="hybridMultilevel"/>
    <w:tmpl w:val="4934BA6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56AC5CB0"/>
    <w:multiLevelType w:val="hybridMultilevel"/>
    <w:tmpl w:val="40320E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0D51B95"/>
    <w:multiLevelType w:val="hybridMultilevel"/>
    <w:tmpl w:val="29DA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75BB7"/>
    <w:multiLevelType w:val="hybridMultilevel"/>
    <w:tmpl w:val="A14A2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D57C4"/>
    <w:multiLevelType w:val="hybridMultilevel"/>
    <w:tmpl w:val="6C3C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7"/>
  </w:num>
  <w:num w:numId="5">
    <w:abstractNumId w:val="8"/>
  </w:num>
  <w:num w:numId="6">
    <w:abstractNumId w:val="2"/>
  </w:num>
  <w:num w:numId="7">
    <w:abstractNumId w:val="1"/>
  </w:num>
  <w:num w:numId="8">
    <w:abstractNumId w:val="4"/>
  </w:num>
  <w:num w:numId="9">
    <w:abstractNumId w:val="9"/>
  </w:num>
  <w:num w:numId="10">
    <w:abstractNumId w:val="6"/>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38"/>
    <w:rsid w:val="00001A74"/>
    <w:rsid w:val="00040693"/>
    <w:rsid w:val="00074A57"/>
    <w:rsid w:val="000857C1"/>
    <w:rsid w:val="000B66A2"/>
    <w:rsid w:val="00100FAF"/>
    <w:rsid w:val="0011427A"/>
    <w:rsid w:val="00140D98"/>
    <w:rsid w:val="001C44F7"/>
    <w:rsid w:val="001D67CF"/>
    <w:rsid w:val="0022514D"/>
    <w:rsid w:val="00242D31"/>
    <w:rsid w:val="00296033"/>
    <w:rsid w:val="002F6D6E"/>
    <w:rsid w:val="00345B52"/>
    <w:rsid w:val="0037469D"/>
    <w:rsid w:val="003907E1"/>
    <w:rsid w:val="003C1C73"/>
    <w:rsid w:val="003E27A9"/>
    <w:rsid w:val="00474A7A"/>
    <w:rsid w:val="00493B18"/>
    <w:rsid w:val="0049725C"/>
    <w:rsid w:val="004C28F1"/>
    <w:rsid w:val="005077F4"/>
    <w:rsid w:val="00596315"/>
    <w:rsid w:val="00601FD7"/>
    <w:rsid w:val="006405B3"/>
    <w:rsid w:val="006570D8"/>
    <w:rsid w:val="006D3E0D"/>
    <w:rsid w:val="006E3628"/>
    <w:rsid w:val="00742435"/>
    <w:rsid w:val="00750812"/>
    <w:rsid w:val="00777843"/>
    <w:rsid w:val="00784D18"/>
    <w:rsid w:val="007B5C82"/>
    <w:rsid w:val="00855EF9"/>
    <w:rsid w:val="00857F44"/>
    <w:rsid w:val="008C2536"/>
    <w:rsid w:val="008E413F"/>
    <w:rsid w:val="009C23D1"/>
    <w:rsid w:val="00A03280"/>
    <w:rsid w:val="00AC4A00"/>
    <w:rsid w:val="00B25DB7"/>
    <w:rsid w:val="00B26D6E"/>
    <w:rsid w:val="00B94F38"/>
    <w:rsid w:val="00BA6B91"/>
    <w:rsid w:val="00BD0321"/>
    <w:rsid w:val="00BF5739"/>
    <w:rsid w:val="00C72AFA"/>
    <w:rsid w:val="00CA2F2D"/>
    <w:rsid w:val="00CB1AED"/>
    <w:rsid w:val="00D122C8"/>
    <w:rsid w:val="00D4761F"/>
    <w:rsid w:val="00D55A4A"/>
    <w:rsid w:val="00D654FF"/>
    <w:rsid w:val="00DF1908"/>
    <w:rsid w:val="00DF2253"/>
    <w:rsid w:val="00E13772"/>
    <w:rsid w:val="00E21273"/>
    <w:rsid w:val="00F47EDE"/>
    <w:rsid w:val="00F9022E"/>
    <w:rsid w:val="00FC0B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EF2948"/>
  <w15:chartTrackingRefBased/>
  <w15:docId w15:val="{F9EE49EE-481E-450C-8EB4-5477CF7C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2C8"/>
  </w:style>
  <w:style w:type="paragraph" w:styleId="Footer">
    <w:name w:val="footer"/>
    <w:basedOn w:val="Normal"/>
    <w:link w:val="FooterChar"/>
    <w:uiPriority w:val="99"/>
    <w:unhideWhenUsed/>
    <w:rsid w:val="00D12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2C8"/>
  </w:style>
  <w:style w:type="character" w:customStyle="1" w:styleId="st1">
    <w:name w:val="st1"/>
    <w:basedOn w:val="DefaultParagraphFont"/>
    <w:rsid w:val="00140D98"/>
  </w:style>
  <w:style w:type="character" w:customStyle="1" w:styleId="apple-style-span">
    <w:name w:val="apple-style-span"/>
    <w:basedOn w:val="DefaultParagraphFont"/>
    <w:rsid w:val="00140D98"/>
  </w:style>
  <w:style w:type="paragraph" w:styleId="ListParagraph">
    <w:name w:val="List Paragraph"/>
    <w:basedOn w:val="Normal"/>
    <w:uiPriority w:val="34"/>
    <w:qFormat/>
    <w:rsid w:val="00140D98"/>
    <w:pPr>
      <w:spacing w:after="200" w:line="276" w:lineRule="auto"/>
      <w:ind w:left="720"/>
      <w:contextualSpacing/>
    </w:pPr>
    <w:rPr>
      <w:rFonts w:ascii="Calibri" w:eastAsia="Calibri" w:hAnsi="Calibri" w:cs="Times New Roman"/>
    </w:rPr>
  </w:style>
  <w:style w:type="paragraph" w:customStyle="1" w:styleId="Default">
    <w:name w:val="Default"/>
    <w:rsid w:val="00140D98"/>
    <w:pPr>
      <w:autoSpaceDE w:val="0"/>
      <w:autoSpaceDN w:val="0"/>
      <w:adjustRightInd w:val="0"/>
      <w:spacing w:after="0" w:line="240" w:lineRule="auto"/>
    </w:pPr>
    <w:rPr>
      <w:rFonts w:ascii="Arial" w:eastAsia="Calibri" w:hAnsi="Arial" w:cs="Arial"/>
      <w:color w:val="000000"/>
      <w:sz w:val="24"/>
      <w:szCs w:val="24"/>
      <w:lang w:val="en-US"/>
    </w:rPr>
  </w:style>
  <w:style w:type="paragraph" w:styleId="FootnoteText">
    <w:name w:val="footnote text"/>
    <w:basedOn w:val="Normal"/>
    <w:link w:val="FootnoteTextChar"/>
    <w:uiPriority w:val="99"/>
    <w:rsid w:val="00F9022E"/>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rsid w:val="00F9022E"/>
    <w:rPr>
      <w:rFonts w:ascii="Arial" w:eastAsia="Times New Roman" w:hAnsi="Arial" w:cs="Times New Roman"/>
      <w:sz w:val="20"/>
      <w:szCs w:val="20"/>
      <w:lang w:val="x-none" w:eastAsia="x-none"/>
    </w:rPr>
  </w:style>
  <w:style w:type="character" w:styleId="FootnoteReference">
    <w:name w:val="footnote reference"/>
    <w:uiPriority w:val="99"/>
    <w:semiHidden/>
    <w:rsid w:val="00F9022E"/>
    <w:rPr>
      <w:vertAlign w:val="superscript"/>
    </w:rPr>
  </w:style>
  <w:style w:type="character" w:styleId="Hyperlink">
    <w:name w:val="Hyperlink"/>
    <w:uiPriority w:val="99"/>
    <w:unhideWhenUsed/>
    <w:rsid w:val="00F9022E"/>
    <w:rPr>
      <w:color w:val="0000FF"/>
      <w:u w:val="single"/>
    </w:rPr>
  </w:style>
  <w:style w:type="character" w:styleId="FollowedHyperlink">
    <w:name w:val="FollowedHyperlink"/>
    <w:basedOn w:val="DefaultParagraphFont"/>
    <w:uiPriority w:val="99"/>
    <w:semiHidden/>
    <w:unhideWhenUsed/>
    <w:rsid w:val="00A03280"/>
    <w:rPr>
      <w:color w:val="8C8C8C" w:themeColor="followedHyperlink"/>
      <w:u w:val="single"/>
    </w:rPr>
  </w:style>
  <w:style w:type="character" w:styleId="UnresolvedMention">
    <w:name w:val="Unresolved Mention"/>
    <w:basedOn w:val="DefaultParagraphFont"/>
    <w:uiPriority w:val="99"/>
    <w:semiHidden/>
    <w:unhideWhenUsed/>
    <w:rsid w:val="00A03280"/>
    <w:rPr>
      <w:color w:val="605E5C"/>
      <w:shd w:val="clear" w:color="auto" w:fill="E1DFDD"/>
    </w:rPr>
  </w:style>
  <w:style w:type="character" w:styleId="CommentReference">
    <w:name w:val="annotation reference"/>
    <w:basedOn w:val="DefaultParagraphFont"/>
    <w:uiPriority w:val="99"/>
    <w:semiHidden/>
    <w:unhideWhenUsed/>
    <w:rsid w:val="0049725C"/>
    <w:rPr>
      <w:sz w:val="16"/>
      <w:szCs w:val="16"/>
    </w:rPr>
  </w:style>
  <w:style w:type="paragraph" w:styleId="CommentText">
    <w:name w:val="annotation text"/>
    <w:basedOn w:val="Normal"/>
    <w:link w:val="CommentTextChar"/>
    <w:uiPriority w:val="99"/>
    <w:semiHidden/>
    <w:unhideWhenUsed/>
    <w:rsid w:val="0049725C"/>
    <w:pPr>
      <w:spacing w:line="240" w:lineRule="auto"/>
    </w:pPr>
    <w:rPr>
      <w:sz w:val="20"/>
      <w:szCs w:val="20"/>
    </w:rPr>
  </w:style>
  <w:style w:type="character" w:customStyle="1" w:styleId="CommentTextChar">
    <w:name w:val="Comment Text Char"/>
    <w:basedOn w:val="DefaultParagraphFont"/>
    <w:link w:val="CommentText"/>
    <w:uiPriority w:val="99"/>
    <w:semiHidden/>
    <w:rsid w:val="0049725C"/>
    <w:rPr>
      <w:sz w:val="20"/>
      <w:szCs w:val="20"/>
    </w:rPr>
  </w:style>
  <w:style w:type="paragraph" w:styleId="CommentSubject">
    <w:name w:val="annotation subject"/>
    <w:basedOn w:val="CommentText"/>
    <w:next w:val="CommentText"/>
    <w:link w:val="CommentSubjectChar"/>
    <w:uiPriority w:val="99"/>
    <w:semiHidden/>
    <w:unhideWhenUsed/>
    <w:rsid w:val="0049725C"/>
    <w:rPr>
      <w:b/>
      <w:bCs/>
    </w:rPr>
  </w:style>
  <w:style w:type="character" w:customStyle="1" w:styleId="CommentSubjectChar">
    <w:name w:val="Comment Subject Char"/>
    <w:basedOn w:val="CommentTextChar"/>
    <w:link w:val="CommentSubject"/>
    <w:uiPriority w:val="99"/>
    <w:semiHidden/>
    <w:rsid w:val="0049725C"/>
    <w:rPr>
      <w:b/>
      <w:bCs/>
      <w:sz w:val="20"/>
      <w:szCs w:val="20"/>
    </w:rPr>
  </w:style>
  <w:style w:type="paragraph" w:styleId="Revision">
    <w:name w:val="Revision"/>
    <w:hidden/>
    <w:uiPriority w:val="99"/>
    <w:semiHidden/>
    <w:rsid w:val="00750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leeds.ac.uk/download/downloads/id/1932/code_of_practice_for_research_degree_candidatures_2021-22.pdf" TargetMode="External"/><Relationship Id="rId3" Type="http://schemas.openxmlformats.org/officeDocument/2006/relationships/settings" Target="settings.xml"/><Relationship Id="rId7" Type="http://schemas.openxmlformats.org/officeDocument/2006/relationships/hyperlink" Target="https://ses.leeds.ac.uk/info/22215/research_degree-related_policies/674/research_degree_candidatures_code_of_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Robinson</dc:creator>
  <cp:keywords/>
  <dc:description/>
  <cp:lastModifiedBy>Christina Robinson</cp:lastModifiedBy>
  <cp:revision>2</cp:revision>
  <cp:lastPrinted>2022-02-18T17:45:00Z</cp:lastPrinted>
  <dcterms:created xsi:type="dcterms:W3CDTF">2023-03-14T09:50:00Z</dcterms:created>
  <dcterms:modified xsi:type="dcterms:W3CDTF">2023-03-14T09:50:00Z</dcterms:modified>
</cp:coreProperties>
</file>