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90551" w14:textId="77777777" w:rsidR="0035283D" w:rsidRPr="00D24AB8" w:rsidRDefault="0035283D" w:rsidP="0035283D">
      <w:pPr>
        <w:spacing w:line="276" w:lineRule="auto"/>
        <w:jc w:val="center"/>
        <w:rPr>
          <w:rFonts w:cstheme="minorHAnsi"/>
          <w:sz w:val="21"/>
          <w:szCs w:val="21"/>
        </w:rPr>
      </w:pPr>
      <w:bookmarkStart w:id="0" w:name="_GoBack"/>
      <w:bookmarkEnd w:id="0"/>
      <w:r w:rsidRPr="00D24AB8">
        <w:rPr>
          <w:rFonts w:cstheme="minorHAnsi"/>
          <w:sz w:val="21"/>
          <w:szCs w:val="21"/>
        </w:rPr>
        <w:t>UNIVERSITY OF LEEDS</w:t>
      </w:r>
    </w:p>
    <w:p w14:paraId="63E1ED98" w14:textId="01674C78" w:rsidR="0021315C" w:rsidRPr="0035283D" w:rsidRDefault="0035283D" w:rsidP="07C89BC0">
      <w:pPr>
        <w:spacing w:line="276" w:lineRule="auto"/>
        <w:jc w:val="center"/>
        <w:rPr>
          <w:b/>
          <w:bCs/>
          <w:sz w:val="21"/>
          <w:szCs w:val="21"/>
        </w:rPr>
      </w:pPr>
      <w:r w:rsidRPr="07C89BC0">
        <w:rPr>
          <w:b/>
          <w:bCs/>
          <w:sz w:val="21"/>
          <w:szCs w:val="21"/>
        </w:rPr>
        <w:t>Learning Analytics Steering Group</w:t>
      </w:r>
    </w:p>
    <w:p w14:paraId="22EE3304" w14:textId="77933766" w:rsidR="0035283D" w:rsidRPr="0035283D" w:rsidRDefault="0035283D" w:rsidP="0035283D">
      <w:pPr>
        <w:spacing w:line="276" w:lineRule="auto"/>
        <w:jc w:val="center"/>
        <w:rPr>
          <w:rFonts w:cstheme="minorHAnsi"/>
          <w:b/>
          <w:bCs/>
          <w:sz w:val="21"/>
          <w:szCs w:val="21"/>
        </w:rPr>
      </w:pPr>
      <w:r w:rsidRPr="0035283D">
        <w:rPr>
          <w:rFonts w:cstheme="minorHAnsi"/>
          <w:b/>
          <w:bCs/>
          <w:sz w:val="21"/>
          <w:szCs w:val="21"/>
        </w:rPr>
        <w:t>Update on Learning Analytics Code of Practice Alignment</w:t>
      </w:r>
    </w:p>
    <w:p w14:paraId="4A9F5195" w14:textId="3C25704D" w:rsidR="008968D9" w:rsidRPr="00E82C30" w:rsidRDefault="008968D9" w:rsidP="07C89BC0">
      <w:pPr>
        <w:pStyle w:val="ListParagraph"/>
        <w:widowControl w:val="0"/>
        <w:tabs>
          <w:tab w:val="left" w:pos="765"/>
        </w:tabs>
        <w:spacing w:after="0" w:line="250" w:lineRule="exact"/>
        <w:jc w:val="both"/>
        <w:rPr>
          <w:rFonts w:eastAsia="Arial"/>
          <w:i/>
          <w:iCs/>
          <w:sz w:val="21"/>
          <w:szCs w:val="21"/>
          <w:lang w:eastAsia="en-GB" w:bidi="en-GB"/>
        </w:rPr>
      </w:pPr>
      <w:r w:rsidRPr="07C89BC0">
        <w:rPr>
          <w:rFonts w:eastAsia="Arial"/>
          <w:i/>
          <w:iCs/>
          <w:sz w:val="21"/>
          <w:szCs w:val="21"/>
          <w:lang w:eastAsia="en-GB" w:bidi="en-GB"/>
        </w:rPr>
        <w:t>Th</w:t>
      </w:r>
      <w:r w:rsidR="0035283D" w:rsidRPr="07C89BC0">
        <w:rPr>
          <w:rFonts w:eastAsia="Arial"/>
          <w:i/>
          <w:iCs/>
          <w:sz w:val="21"/>
          <w:szCs w:val="21"/>
          <w:lang w:eastAsia="en-GB" w:bidi="en-GB"/>
        </w:rPr>
        <w:t>e University’s delivery of Learning Analytics is guided by a</w:t>
      </w:r>
      <w:r w:rsidRPr="07C89BC0">
        <w:rPr>
          <w:rFonts w:eastAsia="Arial"/>
          <w:i/>
          <w:iCs/>
          <w:sz w:val="21"/>
          <w:szCs w:val="21"/>
          <w:lang w:eastAsia="en-GB" w:bidi="en-GB"/>
        </w:rPr>
        <w:t xml:space="preserve"> Code of Practice</w:t>
      </w:r>
      <w:r w:rsidR="0035283D" w:rsidRPr="07C89BC0">
        <w:rPr>
          <w:rFonts w:eastAsia="Arial"/>
          <w:i/>
          <w:iCs/>
          <w:sz w:val="21"/>
          <w:szCs w:val="21"/>
          <w:lang w:eastAsia="en-GB" w:bidi="en-GB"/>
        </w:rPr>
        <w:t xml:space="preserve">. The following table </w:t>
      </w:r>
      <w:r w:rsidR="001A47D4" w:rsidRPr="07C89BC0">
        <w:rPr>
          <w:rFonts w:eastAsia="Arial"/>
          <w:i/>
          <w:iCs/>
          <w:sz w:val="21"/>
          <w:szCs w:val="21"/>
          <w:lang w:eastAsia="en-GB" w:bidi="en-GB"/>
        </w:rPr>
        <w:t>describes</w:t>
      </w:r>
      <w:r w:rsidR="0035283D" w:rsidRPr="07C89BC0">
        <w:rPr>
          <w:rFonts w:eastAsia="Arial"/>
          <w:i/>
          <w:iCs/>
          <w:sz w:val="21"/>
          <w:szCs w:val="21"/>
          <w:lang w:eastAsia="en-GB" w:bidi="en-GB"/>
        </w:rPr>
        <w:t xml:space="preserve"> how each of the principles outline</w:t>
      </w:r>
      <w:r w:rsidR="007804C2" w:rsidRPr="07C89BC0">
        <w:rPr>
          <w:rFonts w:eastAsia="Arial"/>
          <w:i/>
          <w:iCs/>
          <w:sz w:val="21"/>
          <w:szCs w:val="21"/>
          <w:lang w:eastAsia="en-GB" w:bidi="en-GB"/>
        </w:rPr>
        <w:t>d</w:t>
      </w:r>
      <w:r w:rsidR="0035283D" w:rsidRPr="07C89BC0">
        <w:rPr>
          <w:rFonts w:eastAsia="Arial"/>
          <w:i/>
          <w:iCs/>
          <w:sz w:val="21"/>
          <w:szCs w:val="21"/>
          <w:lang w:eastAsia="en-GB" w:bidi="en-GB"/>
        </w:rPr>
        <w:t xml:space="preserve"> in the Code of Practice are being adhered to during the implementation. </w:t>
      </w:r>
      <w:r w:rsidR="007804C2" w:rsidRPr="07C89BC0">
        <w:rPr>
          <w:rFonts w:eastAsia="Arial"/>
          <w:i/>
          <w:iCs/>
          <w:sz w:val="21"/>
          <w:szCs w:val="21"/>
          <w:lang w:eastAsia="en-GB" w:bidi="en-GB"/>
        </w:rPr>
        <w:t>This document will be reviewed routinely as the implementation progresses</w:t>
      </w:r>
      <w:r w:rsidR="00E82C30" w:rsidRPr="07C89BC0">
        <w:rPr>
          <w:rFonts w:eastAsia="Arial"/>
          <w:i/>
          <w:iCs/>
          <w:sz w:val="21"/>
          <w:szCs w:val="21"/>
          <w:lang w:eastAsia="en-GB" w:bidi="en-GB"/>
        </w:rPr>
        <w:t xml:space="preserve">. </w:t>
      </w:r>
    </w:p>
    <w:p w14:paraId="551A7851" w14:textId="77777777" w:rsidR="0035283D" w:rsidRPr="0035283D" w:rsidRDefault="0035283D" w:rsidP="008968D9">
      <w:pPr>
        <w:widowControl w:val="0"/>
        <w:tabs>
          <w:tab w:val="left" w:pos="765"/>
        </w:tabs>
        <w:spacing w:after="0" w:line="250" w:lineRule="exact"/>
        <w:jc w:val="both"/>
        <w:rPr>
          <w:rFonts w:eastAsia="Arial" w:cstheme="minorHAnsi"/>
          <w:sz w:val="21"/>
          <w:szCs w:val="21"/>
          <w:lang w:eastAsia="en-GB" w:bidi="en-GB"/>
        </w:rPr>
      </w:pPr>
    </w:p>
    <w:tbl>
      <w:tblPr>
        <w:tblStyle w:val="TableGrid"/>
        <w:tblW w:w="14507" w:type="dxa"/>
        <w:tblInd w:w="-431" w:type="dxa"/>
        <w:tblLook w:val="04A0" w:firstRow="1" w:lastRow="0" w:firstColumn="1" w:lastColumn="0" w:noHBand="0" w:noVBand="1"/>
      </w:tblPr>
      <w:tblGrid>
        <w:gridCol w:w="977"/>
        <w:gridCol w:w="5828"/>
        <w:gridCol w:w="7702"/>
      </w:tblGrid>
      <w:tr w:rsidR="0035283D" w:rsidRPr="0035283D" w14:paraId="5F249756" w14:textId="77777777" w:rsidTr="07C89BC0">
        <w:tc>
          <w:tcPr>
            <w:tcW w:w="977" w:type="dxa"/>
          </w:tcPr>
          <w:p w14:paraId="06F543AE" w14:textId="7FA6BA7E" w:rsidR="0035283D" w:rsidRPr="0035283D" w:rsidRDefault="0035283D" w:rsidP="0035283D">
            <w:pPr>
              <w:pStyle w:val="ListParagraph"/>
              <w:widowControl w:val="0"/>
              <w:tabs>
                <w:tab w:val="left" w:pos="993"/>
              </w:tabs>
              <w:spacing w:after="0" w:line="250" w:lineRule="exact"/>
              <w:ind w:left="29" w:hanging="29"/>
              <w:rPr>
                <w:rFonts w:eastAsia="Arial" w:cstheme="minorHAnsi"/>
                <w:b/>
                <w:bCs/>
                <w:sz w:val="21"/>
                <w:szCs w:val="21"/>
              </w:rPr>
            </w:pPr>
            <w:r w:rsidRPr="0035283D">
              <w:rPr>
                <w:rFonts w:eastAsia="Arial" w:cstheme="minorHAnsi"/>
                <w:b/>
                <w:bCs/>
                <w:sz w:val="21"/>
                <w:szCs w:val="21"/>
              </w:rPr>
              <w:t>Principle No.</w:t>
            </w:r>
          </w:p>
        </w:tc>
        <w:tc>
          <w:tcPr>
            <w:tcW w:w="5828" w:type="dxa"/>
          </w:tcPr>
          <w:p w14:paraId="0A322063" w14:textId="5C0E0261" w:rsidR="0035283D" w:rsidRPr="0035283D" w:rsidRDefault="0035283D" w:rsidP="0035283D">
            <w:pPr>
              <w:widowControl w:val="0"/>
              <w:tabs>
                <w:tab w:val="left" w:pos="993"/>
              </w:tabs>
              <w:spacing w:after="0" w:line="250" w:lineRule="exact"/>
              <w:jc w:val="both"/>
              <w:rPr>
                <w:rFonts w:eastAsia="Arial" w:cstheme="minorHAnsi"/>
                <w:b/>
                <w:bCs/>
                <w:sz w:val="21"/>
                <w:szCs w:val="21"/>
              </w:rPr>
            </w:pPr>
            <w:r w:rsidRPr="0035283D">
              <w:rPr>
                <w:rFonts w:eastAsia="Arial" w:cstheme="minorHAnsi"/>
                <w:b/>
                <w:bCs/>
                <w:sz w:val="21"/>
                <w:szCs w:val="21"/>
              </w:rPr>
              <w:t>Principle Description</w:t>
            </w:r>
          </w:p>
        </w:tc>
        <w:tc>
          <w:tcPr>
            <w:tcW w:w="7702" w:type="dxa"/>
          </w:tcPr>
          <w:p w14:paraId="401135F4" w14:textId="28B88D03" w:rsidR="0035283D" w:rsidRPr="0035283D" w:rsidRDefault="0035283D" w:rsidP="0035283D">
            <w:pPr>
              <w:widowControl w:val="0"/>
              <w:tabs>
                <w:tab w:val="left" w:pos="993"/>
              </w:tabs>
              <w:spacing w:after="0" w:line="250" w:lineRule="exact"/>
              <w:jc w:val="both"/>
              <w:rPr>
                <w:rFonts w:eastAsia="Arial" w:cstheme="minorHAnsi"/>
                <w:b/>
                <w:bCs/>
                <w:sz w:val="21"/>
                <w:szCs w:val="21"/>
              </w:rPr>
            </w:pPr>
            <w:r>
              <w:rPr>
                <w:rFonts w:eastAsia="Arial" w:cstheme="minorHAnsi"/>
                <w:b/>
                <w:bCs/>
                <w:sz w:val="21"/>
                <w:szCs w:val="21"/>
              </w:rPr>
              <w:t>Alignment</w:t>
            </w:r>
          </w:p>
        </w:tc>
      </w:tr>
      <w:tr w:rsidR="0035283D" w:rsidRPr="0035283D" w14:paraId="240A4DBA" w14:textId="3D9DFCA6" w:rsidTr="07C89BC0">
        <w:tc>
          <w:tcPr>
            <w:tcW w:w="977" w:type="dxa"/>
          </w:tcPr>
          <w:p w14:paraId="3DEE232C"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4EBC2CAA" w14:textId="6210EA01"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Learning analytics will be used to support student education, student well-being, and students’ outcomes;</w:t>
            </w:r>
          </w:p>
        </w:tc>
        <w:tc>
          <w:tcPr>
            <w:tcW w:w="7702" w:type="dxa"/>
          </w:tcPr>
          <w:p w14:paraId="6AA5062F" w14:textId="01EF07CB" w:rsidR="0035283D" w:rsidRPr="0035283D" w:rsidRDefault="007804C2" w:rsidP="43E31167">
            <w:pPr>
              <w:widowControl w:val="0"/>
              <w:tabs>
                <w:tab w:val="left" w:pos="993"/>
              </w:tabs>
              <w:spacing w:after="0" w:line="250" w:lineRule="exact"/>
              <w:jc w:val="both"/>
              <w:rPr>
                <w:rFonts w:eastAsia="Arial"/>
                <w:sz w:val="21"/>
                <w:szCs w:val="21"/>
              </w:rPr>
            </w:pPr>
            <w:r>
              <w:rPr>
                <w:rFonts w:eastAsia="Arial"/>
                <w:sz w:val="21"/>
                <w:szCs w:val="21"/>
              </w:rPr>
              <w:t xml:space="preserve">Learning analytics will be used in a number of ways to support student education. </w:t>
            </w:r>
            <w:r w:rsidR="00EB6450">
              <w:rPr>
                <w:rFonts w:eastAsia="Arial"/>
                <w:sz w:val="21"/>
                <w:szCs w:val="21"/>
              </w:rPr>
              <w:t xml:space="preserve">This includes </w:t>
            </w:r>
            <w:r>
              <w:rPr>
                <w:rFonts w:eastAsia="Arial"/>
                <w:sz w:val="21"/>
                <w:szCs w:val="21"/>
              </w:rPr>
              <w:t>the use</w:t>
            </w:r>
            <w:r w:rsidR="3326FB30" w:rsidRPr="43E31167">
              <w:rPr>
                <w:rFonts w:eastAsia="Arial"/>
                <w:sz w:val="21"/>
                <w:szCs w:val="21"/>
              </w:rPr>
              <w:t xml:space="preserve"> </w:t>
            </w:r>
            <w:r>
              <w:rPr>
                <w:rFonts w:eastAsia="Arial"/>
                <w:sz w:val="21"/>
                <w:szCs w:val="21"/>
              </w:rPr>
              <w:t>of LA in</w:t>
            </w:r>
            <w:r w:rsidR="3326FB30" w:rsidRPr="43E31167">
              <w:rPr>
                <w:rFonts w:eastAsia="Arial"/>
                <w:sz w:val="21"/>
                <w:szCs w:val="21"/>
              </w:rPr>
              <w:t xml:space="preserve"> APT meetings</w:t>
            </w:r>
            <w:r w:rsidR="00EB6450">
              <w:rPr>
                <w:rFonts w:eastAsia="Arial"/>
                <w:sz w:val="21"/>
                <w:szCs w:val="21"/>
              </w:rPr>
              <w:t xml:space="preserve"> </w:t>
            </w:r>
            <w:r w:rsidR="00DF65DE">
              <w:rPr>
                <w:rFonts w:eastAsia="Arial"/>
                <w:sz w:val="21"/>
                <w:szCs w:val="21"/>
              </w:rPr>
              <w:t>where</w:t>
            </w:r>
            <w:r w:rsidR="00EB6450">
              <w:rPr>
                <w:rFonts w:eastAsia="Arial"/>
                <w:sz w:val="21"/>
                <w:szCs w:val="21"/>
              </w:rPr>
              <w:t xml:space="preserve"> both students and their academic personal tutor</w:t>
            </w:r>
            <w:r w:rsidR="365329D5" w:rsidRPr="43E31167">
              <w:rPr>
                <w:rFonts w:eastAsia="Arial"/>
                <w:sz w:val="21"/>
                <w:szCs w:val="21"/>
              </w:rPr>
              <w:t xml:space="preserve"> </w:t>
            </w:r>
            <w:r w:rsidR="00DF65DE">
              <w:rPr>
                <w:rFonts w:eastAsia="Arial"/>
                <w:sz w:val="21"/>
                <w:szCs w:val="21"/>
              </w:rPr>
              <w:t xml:space="preserve">can </w:t>
            </w:r>
            <w:r w:rsidR="365329D5" w:rsidRPr="43E31167">
              <w:rPr>
                <w:rFonts w:eastAsia="Arial"/>
                <w:sz w:val="21"/>
                <w:szCs w:val="21"/>
              </w:rPr>
              <w:t>review</w:t>
            </w:r>
            <w:r w:rsidR="3326FB30" w:rsidRPr="43E31167">
              <w:rPr>
                <w:rFonts w:eastAsia="Arial"/>
                <w:sz w:val="21"/>
                <w:szCs w:val="21"/>
              </w:rPr>
              <w:t xml:space="preserve"> </w:t>
            </w:r>
            <w:r w:rsidR="00EB6450">
              <w:rPr>
                <w:rFonts w:eastAsia="Arial"/>
                <w:sz w:val="21"/>
                <w:szCs w:val="21"/>
              </w:rPr>
              <w:t xml:space="preserve">learning </w:t>
            </w:r>
            <w:r w:rsidR="7ADA7348" w:rsidRPr="43E31167">
              <w:rPr>
                <w:rFonts w:eastAsia="Arial"/>
                <w:sz w:val="21"/>
                <w:szCs w:val="21"/>
              </w:rPr>
              <w:t>practices</w:t>
            </w:r>
            <w:r w:rsidR="2A8E6151" w:rsidRPr="43E31167">
              <w:rPr>
                <w:rFonts w:eastAsia="Arial"/>
                <w:sz w:val="21"/>
                <w:szCs w:val="21"/>
              </w:rPr>
              <w:t xml:space="preserve"> and academic goals</w:t>
            </w:r>
            <w:r w:rsidR="00DF65DE">
              <w:rPr>
                <w:rFonts w:eastAsia="Arial"/>
                <w:sz w:val="21"/>
                <w:szCs w:val="21"/>
              </w:rPr>
              <w:t xml:space="preserve"> alongside their individual data</w:t>
            </w:r>
            <w:r w:rsidR="2A8E6151" w:rsidRPr="43E31167">
              <w:rPr>
                <w:rFonts w:eastAsia="Arial"/>
                <w:sz w:val="21"/>
                <w:szCs w:val="21"/>
              </w:rPr>
              <w:t xml:space="preserve">. </w:t>
            </w:r>
            <w:r w:rsidR="00EB6450">
              <w:rPr>
                <w:rFonts w:eastAsia="Arial"/>
                <w:sz w:val="21"/>
                <w:szCs w:val="21"/>
              </w:rPr>
              <w:t>It will also be used to support student outcomes through an understanding of cohort behaviours and enhancements to curriculum delivery as outline</w:t>
            </w:r>
            <w:r w:rsidR="00DF65DE">
              <w:rPr>
                <w:rFonts w:eastAsia="Arial"/>
                <w:sz w:val="21"/>
                <w:szCs w:val="21"/>
              </w:rPr>
              <w:t>d</w:t>
            </w:r>
            <w:r w:rsidR="00EB6450">
              <w:rPr>
                <w:rFonts w:eastAsia="Arial"/>
                <w:sz w:val="21"/>
                <w:szCs w:val="21"/>
              </w:rPr>
              <w:t xml:space="preserve"> in the LA strategy.</w:t>
            </w:r>
          </w:p>
        </w:tc>
      </w:tr>
      <w:tr w:rsidR="0035283D" w:rsidRPr="0035283D" w14:paraId="59F7A9BC" w14:textId="162CB123" w:rsidTr="07C89BC0">
        <w:tc>
          <w:tcPr>
            <w:tcW w:w="977" w:type="dxa"/>
          </w:tcPr>
          <w:p w14:paraId="5F26AB98"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3A54957D" w14:textId="73C81DA8"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 xml:space="preserve">Learning analytics will be used according to defined guidelines, agreed in partnership with students, and in alignment with the University’s organisational strategy, policies and values; </w:t>
            </w:r>
          </w:p>
        </w:tc>
        <w:tc>
          <w:tcPr>
            <w:tcW w:w="7702" w:type="dxa"/>
          </w:tcPr>
          <w:p w14:paraId="750155F9" w14:textId="54A4F434" w:rsidR="0035283D" w:rsidRPr="0035283D" w:rsidRDefault="00DF65DE" w:rsidP="43E31167">
            <w:pPr>
              <w:pStyle w:val="ListParagraph"/>
              <w:widowControl w:val="0"/>
              <w:tabs>
                <w:tab w:val="left" w:pos="993"/>
              </w:tabs>
              <w:spacing w:after="0" w:line="250" w:lineRule="exact"/>
              <w:ind w:left="0"/>
              <w:jc w:val="both"/>
              <w:rPr>
                <w:rFonts w:eastAsia="Arial"/>
                <w:sz w:val="21"/>
                <w:szCs w:val="21"/>
              </w:rPr>
            </w:pPr>
            <w:r>
              <w:rPr>
                <w:rFonts w:eastAsia="Arial"/>
                <w:sz w:val="21"/>
                <w:szCs w:val="21"/>
              </w:rPr>
              <w:t>The implementation and delivery of the Learning Analytics system at Leeds is guided by this Code of Practice with oversight via Learning Analytics Steering Group</w:t>
            </w:r>
            <w:r w:rsidR="00203A8F">
              <w:rPr>
                <w:rFonts w:eastAsia="Arial"/>
                <w:sz w:val="21"/>
                <w:szCs w:val="21"/>
              </w:rPr>
              <w:t>,</w:t>
            </w:r>
            <w:r>
              <w:rPr>
                <w:rFonts w:eastAsia="Arial"/>
                <w:sz w:val="21"/>
                <w:szCs w:val="21"/>
              </w:rPr>
              <w:t xml:space="preserve"> </w:t>
            </w:r>
            <w:r w:rsidR="00B11486">
              <w:rPr>
                <w:rFonts w:eastAsia="Arial"/>
                <w:sz w:val="21"/>
                <w:szCs w:val="21"/>
              </w:rPr>
              <w:t xml:space="preserve">the Taught Student Education </w:t>
            </w:r>
            <w:r>
              <w:rPr>
                <w:rFonts w:eastAsia="Arial"/>
                <w:sz w:val="21"/>
                <w:szCs w:val="21"/>
              </w:rPr>
              <w:t>B</w:t>
            </w:r>
            <w:r w:rsidR="00B11486">
              <w:rPr>
                <w:rFonts w:eastAsia="Arial"/>
                <w:sz w:val="21"/>
                <w:szCs w:val="21"/>
              </w:rPr>
              <w:t>oard (TSEB)</w:t>
            </w:r>
            <w:r>
              <w:rPr>
                <w:rFonts w:eastAsia="Arial"/>
                <w:sz w:val="21"/>
                <w:szCs w:val="21"/>
              </w:rPr>
              <w:t xml:space="preserve"> and Senate</w:t>
            </w:r>
            <w:r w:rsidR="00203A8F">
              <w:rPr>
                <w:rFonts w:eastAsia="Arial"/>
                <w:sz w:val="21"/>
                <w:szCs w:val="21"/>
              </w:rPr>
              <w:t xml:space="preserve"> to ensure full compliance with the university’s policies and values</w:t>
            </w:r>
            <w:r>
              <w:rPr>
                <w:rFonts w:eastAsia="Arial"/>
                <w:sz w:val="21"/>
                <w:szCs w:val="21"/>
              </w:rPr>
              <w:t xml:space="preserve">. </w:t>
            </w:r>
            <w:r w:rsidR="00B11486">
              <w:rPr>
                <w:rFonts w:eastAsia="Arial"/>
                <w:sz w:val="21"/>
                <w:szCs w:val="21"/>
              </w:rPr>
              <w:t>If necessary, c</w:t>
            </w:r>
            <w:r>
              <w:rPr>
                <w:rFonts w:eastAsia="Arial"/>
                <w:sz w:val="21"/>
                <w:szCs w:val="21"/>
              </w:rPr>
              <w:t>hanges to this Code of Practice</w:t>
            </w:r>
            <w:r w:rsidR="00B11486">
              <w:rPr>
                <w:rFonts w:eastAsia="Arial"/>
                <w:sz w:val="21"/>
                <w:szCs w:val="21"/>
              </w:rPr>
              <w:t xml:space="preserve"> will be developed in partnership with all staff and the student body through a period of consultation and</w:t>
            </w:r>
            <w:r w:rsidR="002540DD">
              <w:rPr>
                <w:rFonts w:eastAsia="Arial"/>
                <w:sz w:val="21"/>
                <w:szCs w:val="21"/>
              </w:rPr>
              <w:t xml:space="preserve"> recommendations </w:t>
            </w:r>
            <w:r w:rsidR="00B11486">
              <w:rPr>
                <w:rFonts w:eastAsia="Arial"/>
                <w:sz w:val="21"/>
                <w:szCs w:val="21"/>
              </w:rPr>
              <w:t>presented to TSEB</w:t>
            </w:r>
            <w:r w:rsidR="002540DD">
              <w:rPr>
                <w:rFonts w:eastAsia="Arial"/>
                <w:sz w:val="21"/>
                <w:szCs w:val="21"/>
              </w:rPr>
              <w:t xml:space="preserve"> </w:t>
            </w:r>
            <w:r w:rsidR="00B11486">
              <w:rPr>
                <w:rFonts w:eastAsia="Arial"/>
                <w:sz w:val="21"/>
                <w:szCs w:val="21"/>
              </w:rPr>
              <w:t>for approval.</w:t>
            </w:r>
          </w:p>
        </w:tc>
      </w:tr>
      <w:tr w:rsidR="0035283D" w:rsidRPr="0035283D" w14:paraId="24B0D163" w14:textId="149066B6" w:rsidTr="07C89BC0">
        <w:tc>
          <w:tcPr>
            <w:tcW w:w="977" w:type="dxa"/>
          </w:tcPr>
          <w:p w14:paraId="177C1162"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0D377C86" w14:textId="6991BFE8"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 xml:space="preserve">The University will collect learning analytics data transparently and ethically, and ensure that where data are shared, it is clear where the consent lies and with whom data are shared; </w:t>
            </w:r>
          </w:p>
        </w:tc>
        <w:tc>
          <w:tcPr>
            <w:tcW w:w="7702" w:type="dxa"/>
          </w:tcPr>
          <w:p w14:paraId="3681EFF1" w14:textId="023A9BC0" w:rsidR="0035283D" w:rsidRPr="0035283D" w:rsidRDefault="002A26C3" w:rsidP="43E31167">
            <w:pPr>
              <w:pStyle w:val="ListParagraph"/>
              <w:widowControl w:val="0"/>
              <w:tabs>
                <w:tab w:val="left" w:pos="993"/>
              </w:tabs>
              <w:spacing w:after="0" w:line="250" w:lineRule="exact"/>
              <w:ind w:left="0"/>
              <w:jc w:val="both"/>
              <w:rPr>
                <w:rFonts w:eastAsiaTheme="minorEastAsia"/>
                <w:sz w:val="21"/>
                <w:szCs w:val="21"/>
              </w:rPr>
            </w:pPr>
            <w:r>
              <w:rPr>
                <w:rFonts w:eastAsia="Arial"/>
                <w:sz w:val="21"/>
                <w:szCs w:val="21"/>
              </w:rPr>
              <w:t>Individual learning analytics data is available to the individual student and their academic personal tutor, with each academic personal tutor having access to their tutees</w:t>
            </w:r>
            <w:r w:rsidR="0010603D">
              <w:rPr>
                <w:rFonts w:eastAsia="Arial"/>
                <w:sz w:val="21"/>
                <w:szCs w:val="21"/>
              </w:rPr>
              <w:t>’</w:t>
            </w:r>
            <w:r>
              <w:rPr>
                <w:rFonts w:eastAsia="Arial"/>
                <w:sz w:val="21"/>
                <w:szCs w:val="21"/>
              </w:rPr>
              <w:t xml:space="preserve"> data. A small cohort of individual staff have access to all </w:t>
            </w:r>
            <w:r w:rsidR="001E5248">
              <w:rPr>
                <w:rFonts w:eastAsia="Arial"/>
                <w:sz w:val="21"/>
                <w:szCs w:val="21"/>
              </w:rPr>
              <w:t xml:space="preserve">learning analytics </w:t>
            </w:r>
            <w:r>
              <w:rPr>
                <w:rFonts w:eastAsia="Arial"/>
                <w:sz w:val="21"/>
                <w:szCs w:val="21"/>
              </w:rPr>
              <w:t>data for administrative purposes</w:t>
            </w:r>
            <w:r w:rsidR="001E5248">
              <w:rPr>
                <w:rFonts w:eastAsia="Arial"/>
                <w:sz w:val="21"/>
                <w:szCs w:val="21"/>
              </w:rPr>
              <w:t xml:space="preserve">. For cohort behaviour and curriculum enhancement analysis all data is anonymised. </w:t>
            </w:r>
          </w:p>
        </w:tc>
      </w:tr>
      <w:tr w:rsidR="0035283D" w:rsidRPr="0035283D" w14:paraId="52F75A53" w14:textId="45DF3AC4" w:rsidTr="07C89BC0">
        <w:tc>
          <w:tcPr>
            <w:tcW w:w="977" w:type="dxa"/>
          </w:tcPr>
          <w:p w14:paraId="3DD6137D"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2E5D78FD" w14:textId="0DB397E0"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The University will communicate widely and regularly with students and staff about the rationale for use of learning analytics;</w:t>
            </w:r>
          </w:p>
        </w:tc>
        <w:tc>
          <w:tcPr>
            <w:tcW w:w="7702" w:type="dxa"/>
          </w:tcPr>
          <w:p w14:paraId="0C897C09" w14:textId="733A13E6" w:rsidR="0035283D" w:rsidRPr="0035283D" w:rsidRDefault="0053683C" w:rsidP="43E31167">
            <w:pPr>
              <w:pStyle w:val="ListParagraph"/>
              <w:widowControl w:val="0"/>
              <w:tabs>
                <w:tab w:val="left" w:pos="993"/>
              </w:tabs>
              <w:spacing w:after="0" w:line="250" w:lineRule="exact"/>
              <w:ind w:left="0"/>
              <w:jc w:val="both"/>
              <w:rPr>
                <w:rFonts w:eastAsia="Arial"/>
                <w:sz w:val="21"/>
                <w:szCs w:val="21"/>
              </w:rPr>
            </w:pPr>
            <w:r>
              <w:rPr>
                <w:rFonts w:eastAsia="Arial"/>
                <w:sz w:val="21"/>
                <w:szCs w:val="21"/>
              </w:rPr>
              <w:t xml:space="preserve">The </w:t>
            </w:r>
            <w:r w:rsidR="008100A4">
              <w:rPr>
                <w:rFonts w:eastAsia="Arial"/>
                <w:sz w:val="21"/>
                <w:szCs w:val="21"/>
              </w:rPr>
              <w:t>Learning</w:t>
            </w:r>
            <w:r>
              <w:rPr>
                <w:rFonts w:eastAsia="Arial"/>
                <w:sz w:val="21"/>
                <w:szCs w:val="21"/>
              </w:rPr>
              <w:t xml:space="preserve"> Analytics </w:t>
            </w:r>
            <w:r w:rsidR="008100A4">
              <w:rPr>
                <w:rFonts w:eastAsia="Arial"/>
                <w:sz w:val="21"/>
                <w:szCs w:val="21"/>
              </w:rPr>
              <w:t xml:space="preserve">System implementation team have issued </w:t>
            </w:r>
            <w:proofErr w:type="spellStart"/>
            <w:r w:rsidR="008100A4">
              <w:rPr>
                <w:rFonts w:eastAsia="Arial"/>
                <w:sz w:val="21"/>
                <w:szCs w:val="21"/>
              </w:rPr>
              <w:t>comms</w:t>
            </w:r>
            <w:proofErr w:type="spellEnd"/>
            <w:r w:rsidR="008100A4">
              <w:rPr>
                <w:rFonts w:eastAsia="Arial"/>
                <w:sz w:val="21"/>
                <w:szCs w:val="21"/>
              </w:rPr>
              <w:t xml:space="preserve"> to all staff on the piloting of Learning Analytics and </w:t>
            </w:r>
            <w:r w:rsidR="00241C93">
              <w:rPr>
                <w:rFonts w:eastAsia="Arial"/>
                <w:sz w:val="21"/>
                <w:szCs w:val="21"/>
              </w:rPr>
              <w:t xml:space="preserve">hold </w:t>
            </w:r>
            <w:r w:rsidR="008100A4">
              <w:rPr>
                <w:rFonts w:eastAsia="Arial"/>
                <w:sz w:val="21"/>
                <w:szCs w:val="21"/>
              </w:rPr>
              <w:t xml:space="preserve">regular live sessions </w:t>
            </w:r>
            <w:r w:rsidR="00241C93">
              <w:rPr>
                <w:rFonts w:eastAsia="Arial"/>
                <w:sz w:val="21"/>
                <w:szCs w:val="21"/>
              </w:rPr>
              <w:t xml:space="preserve">with </w:t>
            </w:r>
            <w:r w:rsidR="008100A4">
              <w:rPr>
                <w:rFonts w:eastAsia="Arial"/>
                <w:sz w:val="21"/>
                <w:szCs w:val="21"/>
              </w:rPr>
              <w:t>staff as part of the reimagined approach</w:t>
            </w:r>
            <w:r w:rsidR="0010603D">
              <w:rPr>
                <w:rFonts w:eastAsia="Arial"/>
                <w:sz w:val="21"/>
                <w:szCs w:val="21"/>
              </w:rPr>
              <w:t xml:space="preserve"> to</w:t>
            </w:r>
            <w:r w:rsidR="008100A4">
              <w:rPr>
                <w:rFonts w:eastAsia="Arial"/>
                <w:sz w:val="21"/>
                <w:szCs w:val="21"/>
              </w:rPr>
              <w:t xml:space="preserve"> Leeds4Life</w:t>
            </w:r>
            <w:r w:rsidR="00241C93">
              <w:rPr>
                <w:rFonts w:eastAsia="Arial"/>
                <w:sz w:val="21"/>
                <w:szCs w:val="21"/>
              </w:rPr>
              <w:t xml:space="preserve"> </w:t>
            </w:r>
            <w:r w:rsidR="00FE1DD0">
              <w:rPr>
                <w:rFonts w:eastAsia="Arial"/>
                <w:sz w:val="21"/>
                <w:szCs w:val="21"/>
              </w:rPr>
              <w:t>along with</w:t>
            </w:r>
            <w:r w:rsidR="00241C93">
              <w:rPr>
                <w:rFonts w:eastAsia="Arial"/>
                <w:sz w:val="21"/>
                <w:szCs w:val="21"/>
              </w:rPr>
              <w:t xml:space="preserve"> a regularly updated website for the latest news and updates</w:t>
            </w:r>
            <w:r w:rsidR="0010603D">
              <w:rPr>
                <w:rFonts w:eastAsia="Arial"/>
                <w:sz w:val="21"/>
                <w:szCs w:val="21"/>
              </w:rPr>
              <w:t xml:space="preserve"> and ad hoc meetings with staff.</w:t>
            </w:r>
          </w:p>
          <w:p w14:paraId="19E260D8" w14:textId="2CDAC41B" w:rsidR="0035283D" w:rsidRPr="0035283D" w:rsidRDefault="008100A4" w:rsidP="43E31167">
            <w:pPr>
              <w:pStyle w:val="ListParagraph"/>
              <w:widowControl w:val="0"/>
              <w:tabs>
                <w:tab w:val="left" w:pos="993"/>
              </w:tabs>
              <w:spacing w:after="0" w:line="250" w:lineRule="exact"/>
              <w:ind w:left="0"/>
              <w:jc w:val="both"/>
              <w:rPr>
                <w:rFonts w:eastAsia="Arial"/>
                <w:sz w:val="21"/>
                <w:szCs w:val="21"/>
              </w:rPr>
            </w:pPr>
            <w:r>
              <w:rPr>
                <w:rFonts w:eastAsia="Arial"/>
                <w:sz w:val="21"/>
                <w:szCs w:val="21"/>
              </w:rPr>
              <w:t xml:space="preserve">Specific </w:t>
            </w:r>
            <w:proofErr w:type="spellStart"/>
            <w:r>
              <w:rPr>
                <w:rFonts w:eastAsia="Arial"/>
                <w:sz w:val="21"/>
                <w:szCs w:val="21"/>
              </w:rPr>
              <w:t>comms</w:t>
            </w:r>
            <w:proofErr w:type="spellEnd"/>
            <w:r>
              <w:rPr>
                <w:rFonts w:eastAsia="Arial"/>
                <w:sz w:val="21"/>
                <w:szCs w:val="21"/>
              </w:rPr>
              <w:t xml:space="preserve"> and training support </w:t>
            </w:r>
            <w:r w:rsidR="0010603D">
              <w:rPr>
                <w:rFonts w:eastAsia="Arial"/>
                <w:sz w:val="21"/>
                <w:szCs w:val="21"/>
              </w:rPr>
              <w:t>resources have been</w:t>
            </w:r>
            <w:r>
              <w:rPr>
                <w:rFonts w:eastAsia="Arial"/>
                <w:sz w:val="21"/>
                <w:szCs w:val="21"/>
              </w:rPr>
              <w:t xml:space="preserve"> published to staff and students in the pilot schools, with </w:t>
            </w:r>
            <w:r w:rsidR="00241C93">
              <w:rPr>
                <w:rFonts w:eastAsia="Arial"/>
                <w:sz w:val="21"/>
                <w:szCs w:val="21"/>
              </w:rPr>
              <w:t xml:space="preserve">a </w:t>
            </w:r>
            <w:r>
              <w:rPr>
                <w:rFonts w:eastAsia="Arial"/>
                <w:sz w:val="21"/>
                <w:szCs w:val="21"/>
              </w:rPr>
              <w:t>d</w:t>
            </w:r>
            <w:r w:rsidR="4E914F2C" w:rsidRPr="43E31167">
              <w:rPr>
                <w:rFonts w:eastAsia="Arial"/>
                <w:sz w:val="21"/>
                <w:szCs w:val="21"/>
              </w:rPr>
              <w:t xml:space="preserve">edicated </w:t>
            </w:r>
            <w:r w:rsidR="4007F04F" w:rsidRPr="43E31167">
              <w:rPr>
                <w:rFonts w:eastAsia="Arial"/>
                <w:sz w:val="21"/>
                <w:szCs w:val="21"/>
              </w:rPr>
              <w:t>Teams channels established</w:t>
            </w:r>
            <w:r w:rsidR="06CF9DFA" w:rsidRPr="43E31167">
              <w:rPr>
                <w:rFonts w:eastAsia="Arial"/>
                <w:sz w:val="21"/>
                <w:szCs w:val="21"/>
              </w:rPr>
              <w:t xml:space="preserve"> for APTs, </w:t>
            </w:r>
            <w:r w:rsidR="00234362">
              <w:rPr>
                <w:rFonts w:eastAsia="Arial"/>
                <w:sz w:val="21"/>
                <w:szCs w:val="21"/>
              </w:rPr>
              <w:t>professional service s</w:t>
            </w:r>
            <w:r w:rsidR="06CF9DFA" w:rsidRPr="43E31167">
              <w:rPr>
                <w:rFonts w:eastAsia="Arial"/>
                <w:sz w:val="21"/>
                <w:szCs w:val="21"/>
              </w:rPr>
              <w:t>taff and students involved in Phase 1</w:t>
            </w:r>
            <w:r w:rsidR="59631CE4" w:rsidRPr="43E31167">
              <w:rPr>
                <w:rFonts w:eastAsia="Arial"/>
                <w:sz w:val="21"/>
                <w:szCs w:val="21"/>
              </w:rPr>
              <w:t>.</w:t>
            </w:r>
            <w:r w:rsidR="4007F04F" w:rsidRPr="43E31167">
              <w:rPr>
                <w:rFonts w:eastAsia="Arial"/>
                <w:sz w:val="21"/>
                <w:szCs w:val="21"/>
              </w:rPr>
              <w:t xml:space="preserve"> </w:t>
            </w:r>
          </w:p>
          <w:p w14:paraId="49E4DD10" w14:textId="0FA9FDFE" w:rsidR="0035283D" w:rsidRPr="0035283D" w:rsidRDefault="00241C93" w:rsidP="43E31167">
            <w:pPr>
              <w:pStyle w:val="ListParagraph"/>
              <w:widowControl w:val="0"/>
              <w:tabs>
                <w:tab w:val="left" w:pos="993"/>
              </w:tabs>
              <w:spacing w:after="0" w:line="250" w:lineRule="exact"/>
              <w:ind w:left="0"/>
              <w:jc w:val="both"/>
              <w:rPr>
                <w:rFonts w:eastAsia="Arial"/>
                <w:sz w:val="21"/>
                <w:szCs w:val="21"/>
              </w:rPr>
            </w:pPr>
            <w:r>
              <w:rPr>
                <w:rFonts w:eastAsia="Arial"/>
                <w:sz w:val="21"/>
                <w:szCs w:val="21"/>
              </w:rPr>
              <w:t xml:space="preserve">Further </w:t>
            </w:r>
            <w:proofErr w:type="spellStart"/>
            <w:r>
              <w:rPr>
                <w:rFonts w:eastAsia="Arial"/>
                <w:sz w:val="21"/>
                <w:szCs w:val="21"/>
              </w:rPr>
              <w:t>comms</w:t>
            </w:r>
            <w:proofErr w:type="spellEnd"/>
            <w:r>
              <w:rPr>
                <w:rFonts w:eastAsia="Arial"/>
                <w:sz w:val="21"/>
                <w:szCs w:val="21"/>
              </w:rPr>
              <w:t xml:space="preserve"> and training will be rolled out once feedback from the pilot has been conducted and the specific functionality of the system is determined in advance of </w:t>
            </w:r>
            <w:r>
              <w:rPr>
                <w:rFonts w:eastAsia="Arial"/>
                <w:sz w:val="21"/>
                <w:szCs w:val="21"/>
              </w:rPr>
              <w:lastRenderedPageBreak/>
              <w:t>Summer 2021.</w:t>
            </w:r>
          </w:p>
        </w:tc>
      </w:tr>
      <w:tr w:rsidR="0035283D" w:rsidRPr="0035283D" w14:paraId="1DCE7AB4" w14:textId="2CF4D90E" w:rsidTr="07C89BC0">
        <w:tc>
          <w:tcPr>
            <w:tcW w:w="977" w:type="dxa"/>
          </w:tcPr>
          <w:p w14:paraId="6ABB4114" w14:textId="77777777" w:rsidR="0035283D" w:rsidRPr="0035283D" w:rsidRDefault="0035283D" w:rsidP="00E82C30">
            <w:pPr>
              <w:pStyle w:val="ListParagraph"/>
              <w:numPr>
                <w:ilvl w:val="0"/>
                <w:numId w:val="2"/>
              </w:numPr>
              <w:tabs>
                <w:tab w:val="left" w:pos="993"/>
              </w:tabs>
              <w:spacing w:after="0" w:line="240" w:lineRule="auto"/>
              <w:ind w:left="567" w:hanging="567"/>
              <w:jc w:val="both"/>
              <w:rPr>
                <w:rFonts w:eastAsia="Arial" w:cstheme="minorHAnsi"/>
                <w:sz w:val="21"/>
                <w:szCs w:val="21"/>
              </w:rPr>
            </w:pPr>
          </w:p>
        </w:tc>
        <w:tc>
          <w:tcPr>
            <w:tcW w:w="5828" w:type="dxa"/>
          </w:tcPr>
          <w:p w14:paraId="765108E0" w14:textId="58B67534" w:rsidR="0035283D" w:rsidRPr="0035283D" w:rsidRDefault="0035283D" w:rsidP="0035283D">
            <w:pPr>
              <w:tabs>
                <w:tab w:val="left" w:pos="993"/>
              </w:tabs>
              <w:spacing w:after="0" w:line="240" w:lineRule="auto"/>
              <w:jc w:val="both"/>
              <w:rPr>
                <w:rFonts w:cstheme="minorHAnsi"/>
                <w:sz w:val="21"/>
                <w:szCs w:val="21"/>
              </w:rPr>
            </w:pPr>
            <w:r w:rsidRPr="0035283D">
              <w:rPr>
                <w:rFonts w:eastAsia="Arial" w:cstheme="minorHAnsi"/>
                <w:sz w:val="21"/>
                <w:szCs w:val="21"/>
              </w:rPr>
              <w:t>Learning analytics data will be used within the context of existing and future student education activities to enable our staff to have more nuanced conversations with students about their individual progress and support needs;</w:t>
            </w:r>
          </w:p>
        </w:tc>
        <w:tc>
          <w:tcPr>
            <w:tcW w:w="7702" w:type="dxa"/>
          </w:tcPr>
          <w:p w14:paraId="10F5AB14" w14:textId="575E6A36" w:rsidR="0035283D" w:rsidRPr="0035283D" w:rsidRDefault="6C88A6F6" w:rsidP="43E31167">
            <w:pPr>
              <w:pStyle w:val="ListParagraph"/>
              <w:tabs>
                <w:tab w:val="left" w:pos="993"/>
              </w:tabs>
              <w:spacing w:after="0" w:line="240" w:lineRule="auto"/>
              <w:ind w:left="0"/>
              <w:jc w:val="both"/>
              <w:rPr>
                <w:rFonts w:eastAsia="Arial"/>
                <w:sz w:val="21"/>
                <w:szCs w:val="21"/>
              </w:rPr>
            </w:pPr>
            <w:r w:rsidRPr="43E31167">
              <w:rPr>
                <w:rFonts w:eastAsia="Arial"/>
                <w:sz w:val="21"/>
                <w:szCs w:val="21"/>
              </w:rPr>
              <w:t xml:space="preserve">Used alongside </w:t>
            </w:r>
            <w:r w:rsidR="0007054F">
              <w:rPr>
                <w:rFonts w:eastAsia="Arial"/>
                <w:sz w:val="21"/>
                <w:szCs w:val="21"/>
              </w:rPr>
              <w:t xml:space="preserve">the </w:t>
            </w:r>
            <w:proofErr w:type="spellStart"/>
            <w:r w:rsidR="0007054F">
              <w:rPr>
                <w:rFonts w:eastAsia="Arial"/>
                <w:sz w:val="21"/>
                <w:szCs w:val="21"/>
              </w:rPr>
              <w:t>ePortfolio</w:t>
            </w:r>
            <w:proofErr w:type="spellEnd"/>
            <w:r w:rsidR="0007054F">
              <w:rPr>
                <w:rFonts w:eastAsia="Arial"/>
                <w:sz w:val="21"/>
                <w:szCs w:val="21"/>
              </w:rPr>
              <w:t xml:space="preserve"> system, </w:t>
            </w:r>
            <w:proofErr w:type="spellStart"/>
            <w:r w:rsidRPr="43E31167">
              <w:rPr>
                <w:rFonts w:eastAsia="Arial"/>
                <w:sz w:val="21"/>
                <w:szCs w:val="21"/>
              </w:rPr>
              <w:t>PebblePad</w:t>
            </w:r>
            <w:proofErr w:type="spellEnd"/>
            <w:r w:rsidR="0007054F">
              <w:rPr>
                <w:rFonts w:eastAsia="Arial"/>
                <w:sz w:val="21"/>
                <w:szCs w:val="21"/>
              </w:rPr>
              <w:t xml:space="preserve">, as part of </w:t>
            </w:r>
            <w:r w:rsidRPr="43E31167">
              <w:rPr>
                <w:rFonts w:eastAsia="Arial"/>
                <w:sz w:val="21"/>
                <w:szCs w:val="21"/>
              </w:rPr>
              <w:t>APT meetings</w:t>
            </w:r>
            <w:r w:rsidR="0007054F">
              <w:rPr>
                <w:rFonts w:eastAsia="Arial"/>
                <w:sz w:val="21"/>
                <w:szCs w:val="21"/>
              </w:rPr>
              <w:t>, Learning Analytics data will help to enhance the student experience by</w:t>
            </w:r>
            <w:r w:rsidR="4831E926" w:rsidRPr="43E31167">
              <w:rPr>
                <w:rFonts w:eastAsia="Arial"/>
                <w:sz w:val="21"/>
                <w:szCs w:val="21"/>
              </w:rPr>
              <w:t xml:space="preserve"> provid</w:t>
            </w:r>
            <w:r w:rsidR="0007054F">
              <w:rPr>
                <w:rFonts w:eastAsia="Arial"/>
                <w:sz w:val="21"/>
                <w:szCs w:val="21"/>
              </w:rPr>
              <w:t>ing</w:t>
            </w:r>
            <w:r w:rsidR="4831E926" w:rsidRPr="43E31167">
              <w:rPr>
                <w:rFonts w:eastAsia="Arial"/>
                <w:sz w:val="21"/>
                <w:szCs w:val="21"/>
              </w:rPr>
              <w:t xml:space="preserve"> a holistic view of</w:t>
            </w:r>
            <w:r w:rsidR="0007054F">
              <w:rPr>
                <w:rFonts w:eastAsia="Arial"/>
                <w:sz w:val="21"/>
                <w:szCs w:val="21"/>
              </w:rPr>
              <w:t xml:space="preserve"> </w:t>
            </w:r>
            <w:r w:rsidRPr="43E31167">
              <w:rPr>
                <w:rFonts w:eastAsia="Arial"/>
                <w:sz w:val="21"/>
                <w:szCs w:val="21"/>
              </w:rPr>
              <w:t>learning practices</w:t>
            </w:r>
            <w:r w:rsidR="364F7702" w:rsidRPr="43E31167">
              <w:rPr>
                <w:rFonts w:eastAsia="Arial"/>
                <w:sz w:val="21"/>
                <w:szCs w:val="21"/>
              </w:rPr>
              <w:t xml:space="preserve">, to initiate conversations around academic goals and </w:t>
            </w:r>
            <w:r w:rsidR="013D56DA" w:rsidRPr="43E31167">
              <w:rPr>
                <w:rFonts w:eastAsia="Arial"/>
                <w:sz w:val="21"/>
                <w:szCs w:val="21"/>
              </w:rPr>
              <w:t>relevant</w:t>
            </w:r>
            <w:r w:rsidR="364F7702" w:rsidRPr="43E31167">
              <w:rPr>
                <w:rFonts w:eastAsia="Arial"/>
                <w:sz w:val="21"/>
                <w:szCs w:val="21"/>
              </w:rPr>
              <w:t xml:space="preserve"> support needs</w:t>
            </w:r>
            <w:r w:rsidR="21A4118C" w:rsidRPr="43E31167">
              <w:rPr>
                <w:rFonts w:eastAsia="Arial"/>
                <w:sz w:val="21"/>
                <w:szCs w:val="21"/>
              </w:rPr>
              <w:t>.</w:t>
            </w:r>
            <w:r w:rsidR="005A0AAD">
              <w:rPr>
                <w:rFonts w:eastAsia="Arial"/>
                <w:sz w:val="21"/>
                <w:szCs w:val="21"/>
              </w:rPr>
              <w:t xml:space="preserve"> Students will also have access to their learning analytics data independent of their A</w:t>
            </w:r>
            <w:r w:rsidR="00234362">
              <w:rPr>
                <w:rFonts w:eastAsia="Arial"/>
                <w:sz w:val="21"/>
                <w:szCs w:val="21"/>
              </w:rPr>
              <w:t>PT</w:t>
            </w:r>
            <w:r w:rsidR="005A0AAD">
              <w:rPr>
                <w:rFonts w:eastAsia="Arial"/>
                <w:sz w:val="21"/>
                <w:szCs w:val="21"/>
              </w:rPr>
              <w:t xml:space="preserve"> meetings to support and develop their own learning approaches and monitor their </w:t>
            </w:r>
            <w:r w:rsidR="00234362">
              <w:rPr>
                <w:rFonts w:eastAsia="Arial"/>
                <w:sz w:val="21"/>
                <w:szCs w:val="21"/>
              </w:rPr>
              <w:t xml:space="preserve">own learning </w:t>
            </w:r>
            <w:r w:rsidR="005A0AAD">
              <w:rPr>
                <w:rFonts w:eastAsia="Arial"/>
                <w:sz w:val="21"/>
                <w:szCs w:val="21"/>
              </w:rPr>
              <w:t xml:space="preserve">behaviour. </w:t>
            </w:r>
          </w:p>
        </w:tc>
      </w:tr>
      <w:tr w:rsidR="0035283D" w:rsidRPr="0035283D" w14:paraId="3C463A2E" w14:textId="1A6BB568" w:rsidTr="07C89BC0">
        <w:tc>
          <w:tcPr>
            <w:tcW w:w="977" w:type="dxa"/>
          </w:tcPr>
          <w:p w14:paraId="558A35CA"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154612A6" w14:textId="2CBC7967"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The University will actively work to recognise and minimise opportunities for bias when processing learning analytics data, and will endeavour to minimise potential negative impacts, focussing on individuals and their circumstances;</w:t>
            </w:r>
          </w:p>
        </w:tc>
        <w:tc>
          <w:tcPr>
            <w:tcW w:w="7702" w:type="dxa"/>
          </w:tcPr>
          <w:p w14:paraId="08E13DE8" w14:textId="0502CE8B" w:rsidR="0035283D" w:rsidRPr="0035283D" w:rsidRDefault="00D55834" w:rsidP="43E31167">
            <w:pPr>
              <w:pStyle w:val="ListParagraph"/>
              <w:widowControl w:val="0"/>
              <w:tabs>
                <w:tab w:val="left" w:pos="993"/>
              </w:tabs>
              <w:spacing w:after="0" w:line="250" w:lineRule="exact"/>
              <w:ind w:left="0"/>
              <w:jc w:val="both"/>
              <w:rPr>
                <w:rFonts w:eastAsia="Arial"/>
                <w:sz w:val="21"/>
                <w:szCs w:val="21"/>
              </w:rPr>
            </w:pPr>
            <w:r>
              <w:rPr>
                <w:rFonts w:eastAsia="Arial"/>
                <w:sz w:val="21"/>
                <w:szCs w:val="21"/>
              </w:rPr>
              <w:t>Individual s</w:t>
            </w:r>
            <w:r w:rsidR="005A0AAD">
              <w:rPr>
                <w:rFonts w:eastAsia="Arial"/>
                <w:sz w:val="21"/>
                <w:szCs w:val="21"/>
              </w:rPr>
              <w:t xml:space="preserve">tudent </w:t>
            </w:r>
            <w:r w:rsidR="2DBA8FF6" w:rsidRPr="43E31167">
              <w:rPr>
                <w:rFonts w:eastAsia="Arial"/>
                <w:sz w:val="21"/>
                <w:szCs w:val="21"/>
              </w:rPr>
              <w:t>characteristic</w:t>
            </w:r>
            <w:r w:rsidR="00A765FA">
              <w:rPr>
                <w:rFonts w:eastAsia="Arial"/>
                <w:sz w:val="21"/>
                <w:szCs w:val="21"/>
              </w:rPr>
              <w:t>s</w:t>
            </w:r>
            <w:r w:rsidR="2DBA8FF6" w:rsidRPr="43E31167">
              <w:rPr>
                <w:rFonts w:eastAsia="Arial"/>
                <w:sz w:val="21"/>
                <w:szCs w:val="21"/>
              </w:rPr>
              <w:t xml:space="preserve"> </w:t>
            </w:r>
            <w:r w:rsidR="00A765FA">
              <w:rPr>
                <w:rFonts w:eastAsia="Arial"/>
                <w:sz w:val="21"/>
                <w:szCs w:val="21"/>
              </w:rPr>
              <w:t>are</w:t>
            </w:r>
            <w:r w:rsidR="2DBA8FF6" w:rsidRPr="43E31167">
              <w:rPr>
                <w:rFonts w:eastAsia="Arial"/>
                <w:sz w:val="21"/>
                <w:szCs w:val="21"/>
              </w:rPr>
              <w:t xml:space="preserve"> not visible</w:t>
            </w:r>
            <w:r w:rsidR="7B5AF297" w:rsidRPr="43E31167">
              <w:rPr>
                <w:rFonts w:eastAsia="Arial"/>
                <w:sz w:val="21"/>
                <w:szCs w:val="21"/>
              </w:rPr>
              <w:t xml:space="preserve"> to staff or students</w:t>
            </w:r>
            <w:r w:rsidR="2DBA8FF6" w:rsidRPr="43E31167">
              <w:rPr>
                <w:rFonts w:eastAsia="Arial"/>
                <w:sz w:val="21"/>
                <w:szCs w:val="21"/>
              </w:rPr>
              <w:t xml:space="preserve"> in </w:t>
            </w:r>
            <w:proofErr w:type="spellStart"/>
            <w:r w:rsidR="2DBA8FF6" w:rsidRPr="43E31167">
              <w:rPr>
                <w:rFonts w:eastAsia="Arial"/>
                <w:sz w:val="21"/>
                <w:szCs w:val="21"/>
              </w:rPr>
              <w:t>StREAM</w:t>
            </w:r>
            <w:proofErr w:type="spellEnd"/>
            <w:r w:rsidR="00A765FA">
              <w:rPr>
                <w:rFonts w:eastAsia="Arial"/>
                <w:sz w:val="21"/>
                <w:szCs w:val="21"/>
              </w:rPr>
              <w:t xml:space="preserve">. </w:t>
            </w:r>
          </w:p>
        </w:tc>
      </w:tr>
      <w:tr w:rsidR="0035283D" w:rsidRPr="0035283D" w14:paraId="4F555B77" w14:textId="7978C8B3" w:rsidTr="07C89BC0">
        <w:tc>
          <w:tcPr>
            <w:tcW w:w="977" w:type="dxa"/>
          </w:tcPr>
          <w:p w14:paraId="1F7F6B0D"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6D32C250" w14:textId="323E6A43"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The University will use learning analytics data to improve its processes and practices, for the benefit of staff and students;</w:t>
            </w:r>
          </w:p>
        </w:tc>
        <w:tc>
          <w:tcPr>
            <w:tcW w:w="7702" w:type="dxa"/>
          </w:tcPr>
          <w:p w14:paraId="4DC8BA94" w14:textId="05D38D65" w:rsidR="0035283D" w:rsidRPr="0035283D" w:rsidRDefault="00D55834" w:rsidP="43E31167">
            <w:pPr>
              <w:pStyle w:val="ListParagraph"/>
              <w:widowControl w:val="0"/>
              <w:tabs>
                <w:tab w:val="left" w:pos="993"/>
              </w:tabs>
              <w:spacing w:after="0" w:line="250" w:lineRule="exact"/>
              <w:ind w:left="0"/>
              <w:jc w:val="both"/>
              <w:rPr>
                <w:rFonts w:eastAsia="Arial"/>
                <w:sz w:val="21"/>
                <w:szCs w:val="21"/>
              </w:rPr>
            </w:pPr>
            <w:r>
              <w:rPr>
                <w:rFonts w:eastAsia="Arial"/>
                <w:sz w:val="21"/>
                <w:szCs w:val="21"/>
              </w:rPr>
              <w:t>Adaption of the current process for engagement monitoring and how to utilise the additional features of the learning analytics system are currently being investigated to support the process around student education.</w:t>
            </w:r>
            <w:r w:rsidR="0000202A">
              <w:rPr>
                <w:rFonts w:eastAsia="Arial"/>
                <w:sz w:val="21"/>
                <w:szCs w:val="21"/>
              </w:rPr>
              <w:t xml:space="preserve"> With time and maturity of </w:t>
            </w:r>
            <w:r w:rsidR="002540DD">
              <w:rPr>
                <w:rFonts w:eastAsia="Arial"/>
                <w:sz w:val="21"/>
                <w:szCs w:val="21"/>
              </w:rPr>
              <w:t xml:space="preserve">the </w:t>
            </w:r>
            <w:r w:rsidR="0000202A">
              <w:rPr>
                <w:rFonts w:eastAsia="Arial"/>
                <w:sz w:val="21"/>
                <w:szCs w:val="21"/>
              </w:rPr>
              <w:t>system at Leeds the development of new process</w:t>
            </w:r>
            <w:r w:rsidR="002540DD">
              <w:rPr>
                <w:rFonts w:eastAsia="Arial"/>
                <w:sz w:val="21"/>
                <w:szCs w:val="21"/>
              </w:rPr>
              <w:t>es</w:t>
            </w:r>
            <w:r w:rsidR="0000202A">
              <w:rPr>
                <w:rFonts w:eastAsia="Arial"/>
                <w:sz w:val="21"/>
                <w:szCs w:val="21"/>
              </w:rPr>
              <w:t xml:space="preserve"> and approaches to supporting student education (ie, th</w:t>
            </w:r>
            <w:r w:rsidR="00DE1B41">
              <w:rPr>
                <w:rFonts w:eastAsia="Arial"/>
                <w:sz w:val="21"/>
                <w:szCs w:val="21"/>
              </w:rPr>
              <w:t>r</w:t>
            </w:r>
            <w:r w:rsidR="0000202A">
              <w:rPr>
                <w:rFonts w:eastAsia="Arial"/>
                <w:sz w:val="21"/>
                <w:szCs w:val="21"/>
              </w:rPr>
              <w:t>ough notification ‘nudges’</w:t>
            </w:r>
            <w:r w:rsidR="002540DD">
              <w:rPr>
                <w:rFonts w:eastAsia="Arial"/>
                <w:sz w:val="21"/>
                <w:szCs w:val="21"/>
              </w:rPr>
              <w:t>)</w:t>
            </w:r>
            <w:r w:rsidR="0000202A">
              <w:rPr>
                <w:rFonts w:eastAsia="Arial"/>
                <w:sz w:val="21"/>
                <w:szCs w:val="21"/>
              </w:rPr>
              <w:t xml:space="preserve"> will be developed and consulted on</w:t>
            </w:r>
            <w:r w:rsidR="002540DD">
              <w:rPr>
                <w:rFonts w:eastAsia="Arial"/>
                <w:sz w:val="21"/>
                <w:szCs w:val="21"/>
              </w:rPr>
              <w:t>.</w:t>
            </w:r>
          </w:p>
        </w:tc>
      </w:tr>
      <w:tr w:rsidR="0035283D" w:rsidRPr="0035283D" w14:paraId="38ACEFD4" w14:textId="2553B87F" w:rsidTr="07C89BC0">
        <w:tc>
          <w:tcPr>
            <w:tcW w:w="977" w:type="dxa"/>
          </w:tcPr>
          <w:p w14:paraId="417E9FE2"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18A2CD5C" w14:textId="763A9BF9"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Students and staff will be actively involved in the consultation on learning analytics at the University;</w:t>
            </w:r>
          </w:p>
        </w:tc>
        <w:tc>
          <w:tcPr>
            <w:tcW w:w="7702" w:type="dxa"/>
          </w:tcPr>
          <w:p w14:paraId="340D1E65" w14:textId="66747DEB" w:rsidR="0035283D" w:rsidRPr="0035283D" w:rsidRDefault="0000202A" w:rsidP="43E31167">
            <w:pPr>
              <w:pStyle w:val="ListParagraph"/>
              <w:widowControl w:val="0"/>
              <w:tabs>
                <w:tab w:val="left" w:pos="993"/>
              </w:tabs>
              <w:spacing w:after="0" w:line="250" w:lineRule="exact"/>
              <w:ind w:left="0"/>
              <w:jc w:val="both"/>
              <w:rPr>
                <w:rFonts w:eastAsia="Arial"/>
                <w:sz w:val="21"/>
                <w:szCs w:val="21"/>
              </w:rPr>
            </w:pPr>
            <w:r>
              <w:rPr>
                <w:rFonts w:eastAsia="Arial"/>
                <w:sz w:val="21"/>
                <w:szCs w:val="21"/>
              </w:rPr>
              <w:t>All staff and students have been consulted on the implementation of the learning analytics system</w:t>
            </w:r>
            <w:r w:rsidR="00E37A4F">
              <w:rPr>
                <w:rFonts w:eastAsia="Arial"/>
                <w:sz w:val="21"/>
                <w:szCs w:val="21"/>
              </w:rPr>
              <w:t xml:space="preserve"> to date</w:t>
            </w:r>
            <w:r>
              <w:rPr>
                <w:rFonts w:eastAsia="Arial"/>
                <w:sz w:val="21"/>
                <w:szCs w:val="21"/>
              </w:rPr>
              <w:t>, with broad representation from academic, professional services, student reps and LUU</w:t>
            </w:r>
            <w:r w:rsidR="00E37A4F">
              <w:rPr>
                <w:rFonts w:eastAsia="Arial"/>
                <w:sz w:val="21"/>
                <w:szCs w:val="21"/>
              </w:rPr>
              <w:t xml:space="preserve"> </w:t>
            </w:r>
            <w:r w:rsidR="00A81D3D">
              <w:rPr>
                <w:rFonts w:eastAsia="Arial"/>
                <w:sz w:val="21"/>
                <w:szCs w:val="21"/>
              </w:rPr>
              <w:t>members o</w:t>
            </w:r>
            <w:r w:rsidR="00FD1411">
              <w:rPr>
                <w:rFonts w:eastAsia="Arial"/>
                <w:sz w:val="21"/>
                <w:szCs w:val="21"/>
              </w:rPr>
              <w:t>f</w:t>
            </w:r>
            <w:r w:rsidR="00A81D3D">
              <w:rPr>
                <w:rFonts w:eastAsia="Arial"/>
                <w:sz w:val="21"/>
                <w:szCs w:val="21"/>
              </w:rPr>
              <w:t xml:space="preserve"> either</w:t>
            </w:r>
            <w:r w:rsidR="00E37A4F">
              <w:rPr>
                <w:rFonts w:eastAsia="Arial"/>
                <w:sz w:val="21"/>
                <w:szCs w:val="21"/>
              </w:rPr>
              <w:t xml:space="preserve"> the project delivery group, the Leeds4Life strategy group, Learning Analytics Strategy Group, and higher deliberate structures. </w:t>
            </w:r>
            <w:r>
              <w:rPr>
                <w:rFonts w:eastAsia="Arial"/>
                <w:sz w:val="21"/>
                <w:szCs w:val="21"/>
              </w:rPr>
              <w:t xml:space="preserve"> </w:t>
            </w:r>
            <w:r w:rsidR="00E37A4F">
              <w:rPr>
                <w:rFonts w:eastAsia="Arial"/>
                <w:sz w:val="21"/>
                <w:szCs w:val="21"/>
              </w:rPr>
              <w:t xml:space="preserve">Consultation on </w:t>
            </w:r>
            <w:r w:rsidR="00923A79">
              <w:rPr>
                <w:rFonts w:eastAsia="Arial"/>
                <w:sz w:val="21"/>
                <w:szCs w:val="21"/>
              </w:rPr>
              <w:t xml:space="preserve">any </w:t>
            </w:r>
            <w:r w:rsidR="00E37A4F">
              <w:rPr>
                <w:rFonts w:eastAsia="Arial"/>
                <w:sz w:val="21"/>
                <w:szCs w:val="21"/>
              </w:rPr>
              <w:t xml:space="preserve">changes to the Code of Practice will be </w:t>
            </w:r>
            <w:r w:rsidR="00923A79">
              <w:rPr>
                <w:rFonts w:eastAsia="Arial"/>
                <w:sz w:val="21"/>
                <w:szCs w:val="21"/>
              </w:rPr>
              <w:t>instigated</w:t>
            </w:r>
            <w:r w:rsidR="00FD1411">
              <w:rPr>
                <w:rFonts w:eastAsia="Arial"/>
                <w:sz w:val="21"/>
                <w:szCs w:val="21"/>
              </w:rPr>
              <w:t xml:space="preserve"> </w:t>
            </w:r>
            <w:r w:rsidR="00E37A4F">
              <w:rPr>
                <w:rFonts w:eastAsia="Arial"/>
                <w:sz w:val="21"/>
                <w:szCs w:val="21"/>
              </w:rPr>
              <w:t>when and where necessary</w:t>
            </w:r>
            <w:r w:rsidR="00923A79">
              <w:rPr>
                <w:rFonts w:eastAsia="Arial"/>
                <w:sz w:val="21"/>
                <w:szCs w:val="21"/>
              </w:rPr>
              <w:t>.</w:t>
            </w:r>
          </w:p>
        </w:tc>
      </w:tr>
      <w:tr w:rsidR="0035283D" w:rsidRPr="0035283D" w14:paraId="177EEB52" w14:textId="12C9CB26" w:rsidTr="07C89BC0">
        <w:tc>
          <w:tcPr>
            <w:tcW w:w="977" w:type="dxa"/>
          </w:tcPr>
          <w:p w14:paraId="750FAAFA"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5D7974B3" w14:textId="31C887D4"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The University will use predictive analytics carefully, to ensure that the full spread of student behaviour and capability are recognised;</w:t>
            </w:r>
          </w:p>
        </w:tc>
        <w:tc>
          <w:tcPr>
            <w:tcW w:w="7702" w:type="dxa"/>
          </w:tcPr>
          <w:p w14:paraId="0A3A97B0" w14:textId="07B6DE96" w:rsidR="0035283D" w:rsidRPr="0035283D" w:rsidRDefault="00A81D3D" w:rsidP="43E31167">
            <w:pPr>
              <w:pStyle w:val="ListParagraph"/>
              <w:widowControl w:val="0"/>
              <w:tabs>
                <w:tab w:val="left" w:pos="993"/>
              </w:tabs>
              <w:spacing w:after="0" w:line="250" w:lineRule="exact"/>
              <w:ind w:left="0"/>
              <w:jc w:val="both"/>
              <w:rPr>
                <w:rFonts w:eastAsia="Arial"/>
                <w:sz w:val="21"/>
                <w:szCs w:val="21"/>
              </w:rPr>
            </w:pPr>
            <w:r>
              <w:rPr>
                <w:rFonts w:eastAsia="Arial"/>
                <w:sz w:val="21"/>
                <w:szCs w:val="21"/>
              </w:rPr>
              <w:t>Predictive analytics is not currently, or plan</w:t>
            </w:r>
            <w:r w:rsidR="007C7CB7">
              <w:rPr>
                <w:rFonts w:eastAsia="Arial"/>
                <w:sz w:val="21"/>
                <w:szCs w:val="21"/>
              </w:rPr>
              <w:t>n</w:t>
            </w:r>
            <w:r>
              <w:rPr>
                <w:rFonts w:eastAsia="Arial"/>
                <w:sz w:val="21"/>
                <w:szCs w:val="21"/>
              </w:rPr>
              <w:t>ed</w:t>
            </w:r>
            <w:r w:rsidR="007C7CB7">
              <w:rPr>
                <w:rFonts w:eastAsia="Arial"/>
                <w:sz w:val="21"/>
                <w:szCs w:val="21"/>
              </w:rPr>
              <w:t xml:space="preserve"> </w:t>
            </w:r>
            <w:r>
              <w:rPr>
                <w:rFonts w:eastAsia="Arial"/>
                <w:sz w:val="21"/>
                <w:szCs w:val="21"/>
              </w:rPr>
              <w:t>to be</w:t>
            </w:r>
            <w:r w:rsidR="007C7CB7">
              <w:rPr>
                <w:rFonts w:eastAsia="Arial"/>
                <w:sz w:val="21"/>
                <w:szCs w:val="21"/>
              </w:rPr>
              <w:t>,</w:t>
            </w:r>
            <w:r>
              <w:rPr>
                <w:rFonts w:eastAsia="Arial"/>
                <w:sz w:val="21"/>
                <w:szCs w:val="21"/>
              </w:rPr>
              <w:t xml:space="preserve"> utilised.</w:t>
            </w:r>
          </w:p>
        </w:tc>
      </w:tr>
      <w:tr w:rsidR="0035283D" w:rsidRPr="0035283D" w14:paraId="23547496" w14:textId="5B8C95E8" w:rsidTr="07C89BC0">
        <w:tc>
          <w:tcPr>
            <w:tcW w:w="977" w:type="dxa"/>
          </w:tcPr>
          <w:p w14:paraId="470CCD42"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7B1658AA" w14:textId="751F264A"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All learning analytics activity will comply with the Code of Practice on Learning Analytics;</w:t>
            </w:r>
          </w:p>
        </w:tc>
        <w:tc>
          <w:tcPr>
            <w:tcW w:w="7702" w:type="dxa"/>
          </w:tcPr>
          <w:p w14:paraId="367137A1" w14:textId="77777777" w:rsidR="0035283D" w:rsidRPr="0035283D" w:rsidRDefault="0035283D" w:rsidP="43E31167">
            <w:pPr>
              <w:pStyle w:val="ListParagraph"/>
              <w:widowControl w:val="0"/>
              <w:tabs>
                <w:tab w:val="left" w:pos="993"/>
              </w:tabs>
              <w:spacing w:after="0" w:line="250" w:lineRule="exact"/>
              <w:ind w:left="0"/>
              <w:jc w:val="both"/>
              <w:rPr>
                <w:rFonts w:eastAsia="Arial"/>
                <w:sz w:val="21"/>
                <w:szCs w:val="21"/>
              </w:rPr>
            </w:pPr>
          </w:p>
        </w:tc>
      </w:tr>
      <w:tr w:rsidR="0035283D" w:rsidRPr="0035283D" w14:paraId="5374DEF0" w14:textId="636A7779" w:rsidTr="07C89BC0">
        <w:tc>
          <w:tcPr>
            <w:tcW w:w="977" w:type="dxa"/>
          </w:tcPr>
          <w:p w14:paraId="020AFFCB"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7A0957A9" w14:textId="512B37DD"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The University will ensure that any user interface displaying learning analytics data will include accessibility features;</w:t>
            </w:r>
          </w:p>
        </w:tc>
        <w:tc>
          <w:tcPr>
            <w:tcW w:w="7702" w:type="dxa"/>
          </w:tcPr>
          <w:p w14:paraId="530F1E95" w14:textId="208E5840" w:rsidR="00A0172E" w:rsidRPr="0035283D" w:rsidRDefault="00A0172E" w:rsidP="00A0172E">
            <w:pPr>
              <w:widowControl w:val="0"/>
              <w:tabs>
                <w:tab w:val="left" w:pos="993"/>
              </w:tabs>
              <w:spacing w:after="0" w:line="250" w:lineRule="exact"/>
              <w:jc w:val="both"/>
              <w:rPr>
                <w:rFonts w:eastAsia="Arial"/>
                <w:sz w:val="21"/>
                <w:szCs w:val="21"/>
              </w:rPr>
            </w:pPr>
            <w:r w:rsidRPr="00A0172E">
              <w:rPr>
                <w:rFonts w:eastAsia="Arial"/>
                <w:sz w:val="21"/>
                <w:szCs w:val="21"/>
              </w:rPr>
              <w:t>There are currently two viewing options for all end users by toggling to “dark mode.” As the graphs</w:t>
            </w:r>
            <w:r>
              <w:rPr>
                <w:rFonts w:eastAsia="Arial"/>
                <w:sz w:val="21"/>
                <w:szCs w:val="21"/>
              </w:rPr>
              <w:t xml:space="preserve"> </w:t>
            </w:r>
            <w:r w:rsidRPr="00A0172E">
              <w:rPr>
                <w:rFonts w:eastAsia="Arial"/>
                <w:sz w:val="21"/>
                <w:szCs w:val="21"/>
              </w:rPr>
              <w:t>are created and presented to reflect the daily data feed, they are not static images, an “alt text” or</w:t>
            </w:r>
            <w:r>
              <w:rPr>
                <w:rFonts w:eastAsia="Arial"/>
                <w:sz w:val="21"/>
                <w:szCs w:val="21"/>
              </w:rPr>
              <w:t xml:space="preserve"> </w:t>
            </w:r>
            <w:r w:rsidRPr="00A0172E">
              <w:rPr>
                <w:rFonts w:eastAsia="Arial"/>
                <w:sz w:val="21"/>
                <w:szCs w:val="21"/>
              </w:rPr>
              <w:t xml:space="preserve">“information tag” are not currently available. </w:t>
            </w:r>
            <w:proofErr w:type="spellStart"/>
            <w:r w:rsidRPr="00A0172E">
              <w:rPr>
                <w:rFonts w:eastAsia="Arial"/>
                <w:sz w:val="21"/>
                <w:szCs w:val="21"/>
              </w:rPr>
              <w:t>Solutionpath</w:t>
            </w:r>
            <w:proofErr w:type="spellEnd"/>
            <w:r w:rsidRPr="00A0172E">
              <w:rPr>
                <w:rFonts w:eastAsia="Arial"/>
                <w:sz w:val="21"/>
                <w:szCs w:val="21"/>
              </w:rPr>
              <w:t xml:space="preserve"> are working on a student view solution</w:t>
            </w:r>
            <w:r>
              <w:rPr>
                <w:rFonts w:eastAsia="Arial"/>
                <w:sz w:val="21"/>
                <w:szCs w:val="21"/>
              </w:rPr>
              <w:t xml:space="preserve"> </w:t>
            </w:r>
            <w:r w:rsidRPr="00A0172E">
              <w:rPr>
                <w:rFonts w:eastAsia="Arial"/>
                <w:sz w:val="21"/>
                <w:szCs w:val="21"/>
              </w:rPr>
              <w:t>for their next release</w:t>
            </w:r>
            <w:r w:rsidR="00600C95">
              <w:rPr>
                <w:rFonts w:eastAsia="Arial"/>
                <w:sz w:val="21"/>
                <w:szCs w:val="21"/>
              </w:rPr>
              <w:t>.</w:t>
            </w:r>
          </w:p>
        </w:tc>
      </w:tr>
      <w:tr w:rsidR="0035283D" w:rsidRPr="0035283D" w14:paraId="2A7B2499" w14:textId="05932310" w:rsidTr="07C89BC0">
        <w:tc>
          <w:tcPr>
            <w:tcW w:w="977" w:type="dxa"/>
          </w:tcPr>
          <w:p w14:paraId="5747F886" w14:textId="77777777" w:rsidR="0035283D" w:rsidRPr="0035283D" w:rsidRDefault="0035283D" w:rsidP="00E82C30">
            <w:pPr>
              <w:pStyle w:val="ListParagraph"/>
              <w:numPr>
                <w:ilvl w:val="0"/>
                <w:numId w:val="2"/>
              </w:numPr>
              <w:tabs>
                <w:tab w:val="left" w:pos="993"/>
              </w:tabs>
              <w:spacing w:after="0" w:line="240" w:lineRule="auto"/>
              <w:ind w:left="567" w:hanging="567"/>
              <w:jc w:val="both"/>
              <w:rPr>
                <w:rFonts w:cstheme="minorHAnsi"/>
                <w:sz w:val="21"/>
                <w:szCs w:val="21"/>
              </w:rPr>
            </w:pPr>
          </w:p>
        </w:tc>
        <w:tc>
          <w:tcPr>
            <w:tcW w:w="5828" w:type="dxa"/>
          </w:tcPr>
          <w:p w14:paraId="4599706F" w14:textId="7B03AE70" w:rsidR="0035283D" w:rsidRPr="0035283D" w:rsidRDefault="0035283D" w:rsidP="0035283D">
            <w:pPr>
              <w:tabs>
                <w:tab w:val="left" w:pos="993"/>
              </w:tabs>
              <w:spacing w:after="0" w:line="240" w:lineRule="auto"/>
              <w:jc w:val="both"/>
              <w:rPr>
                <w:rFonts w:cstheme="minorHAnsi"/>
                <w:sz w:val="21"/>
                <w:szCs w:val="21"/>
              </w:rPr>
            </w:pPr>
            <w:r w:rsidRPr="0035283D">
              <w:rPr>
                <w:rFonts w:cstheme="minorHAnsi"/>
                <w:sz w:val="21"/>
                <w:szCs w:val="21"/>
              </w:rPr>
              <w:t xml:space="preserve">The University will regularly monitor and quality assure use of learning analytics to ensure it is meeting the objectives of the learning analytics strategy, and wider university strategies; </w:t>
            </w:r>
          </w:p>
        </w:tc>
        <w:tc>
          <w:tcPr>
            <w:tcW w:w="7702" w:type="dxa"/>
          </w:tcPr>
          <w:p w14:paraId="72B456DD" w14:textId="25E65DE9" w:rsidR="0035283D" w:rsidRPr="00527DCE" w:rsidRDefault="0031707E" w:rsidP="0031707E">
            <w:pPr>
              <w:tabs>
                <w:tab w:val="left" w:pos="993"/>
              </w:tabs>
              <w:spacing w:after="0" w:line="240" w:lineRule="auto"/>
              <w:jc w:val="both"/>
              <w:rPr>
                <w:rFonts w:cstheme="minorHAnsi"/>
                <w:sz w:val="21"/>
                <w:szCs w:val="21"/>
              </w:rPr>
            </w:pPr>
            <w:r>
              <w:rPr>
                <w:rFonts w:cstheme="minorHAnsi"/>
                <w:sz w:val="21"/>
                <w:szCs w:val="21"/>
              </w:rPr>
              <w:t xml:space="preserve">Regular updates </w:t>
            </w:r>
            <w:r w:rsidR="00923A79">
              <w:rPr>
                <w:rFonts w:cstheme="minorHAnsi"/>
                <w:sz w:val="21"/>
                <w:szCs w:val="21"/>
              </w:rPr>
              <w:t xml:space="preserve">on the implementation of the learning analytics system </w:t>
            </w:r>
            <w:r>
              <w:rPr>
                <w:rFonts w:cstheme="minorHAnsi"/>
                <w:sz w:val="21"/>
                <w:szCs w:val="21"/>
              </w:rPr>
              <w:t>will be shared with the university through the LASG, which will provide feedback, advice and approval of developments as required</w:t>
            </w:r>
            <w:r w:rsidR="00912740">
              <w:rPr>
                <w:rFonts w:cstheme="minorHAnsi"/>
                <w:sz w:val="21"/>
                <w:szCs w:val="21"/>
              </w:rPr>
              <w:t xml:space="preserve"> to ensure compliance with the Code of Practice and its alignment with the university’s LA strategy.</w:t>
            </w:r>
            <w:r w:rsidR="00527DCE">
              <w:rPr>
                <w:rFonts w:cstheme="minorHAnsi"/>
                <w:sz w:val="21"/>
                <w:szCs w:val="21"/>
              </w:rPr>
              <w:t xml:space="preserve"> A</w:t>
            </w:r>
            <w:r w:rsidR="00923A79" w:rsidRPr="01688F9C">
              <w:rPr>
                <w:sz w:val="21"/>
                <w:szCs w:val="21"/>
              </w:rPr>
              <w:t xml:space="preserve">nalysis of </w:t>
            </w:r>
            <w:r w:rsidR="00527DCE">
              <w:rPr>
                <w:sz w:val="21"/>
                <w:szCs w:val="21"/>
              </w:rPr>
              <w:t xml:space="preserve">the </w:t>
            </w:r>
            <w:r w:rsidR="00923A79" w:rsidRPr="01688F9C">
              <w:rPr>
                <w:sz w:val="21"/>
                <w:szCs w:val="21"/>
              </w:rPr>
              <w:t>data produced by the system will be</w:t>
            </w:r>
            <w:r w:rsidR="00527DCE">
              <w:rPr>
                <w:sz w:val="21"/>
                <w:szCs w:val="21"/>
              </w:rPr>
              <w:t xml:space="preserve"> conducted</w:t>
            </w:r>
            <w:r w:rsidR="00923A79" w:rsidRPr="01688F9C">
              <w:rPr>
                <w:sz w:val="21"/>
                <w:szCs w:val="21"/>
              </w:rPr>
              <w:t xml:space="preserve"> to ensure this</w:t>
            </w:r>
            <w:r w:rsidR="00527DCE">
              <w:rPr>
                <w:sz w:val="21"/>
                <w:szCs w:val="21"/>
              </w:rPr>
              <w:t xml:space="preserve"> principle is met on an ongoing basis.</w:t>
            </w:r>
          </w:p>
        </w:tc>
      </w:tr>
      <w:tr w:rsidR="0035283D" w:rsidRPr="0035283D" w14:paraId="63B374E4" w14:textId="4B039FED" w:rsidTr="07C89BC0">
        <w:tc>
          <w:tcPr>
            <w:tcW w:w="977" w:type="dxa"/>
          </w:tcPr>
          <w:p w14:paraId="0ABA315B"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5137C5FE" w14:textId="7F160491" w:rsidR="0035283D" w:rsidRPr="0035283D" w:rsidRDefault="0035283D" w:rsidP="0035283D">
            <w:pPr>
              <w:widowControl w:val="0"/>
              <w:tabs>
                <w:tab w:val="left" w:pos="993"/>
              </w:tabs>
              <w:spacing w:after="0" w:line="250" w:lineRule="exact"/>
              <w:jc w:val="both"/>
              <w:rPr>
                <w:rFonts w:eastAsia="Arial" w:cstheme="minorHAnsi"/>
                <w:color w:val="000000" w:themeColor="text1"/>
                <w:sz w:val="21"/>
                <w:szCs w:val="21"/>
              </w:rPr>
            </w:pPr>
            <w:r w:rsidRPr="0035283D">
              <w:rPr>
                <w:rFonts w:eastAsia="Arial" w:cstheme="minorHAnsi"/>
                <w:sz w:val="21"/>
                <w:szCs w:val="21"/>
              </w:rPr>
              <w:t xml:space="preserve">The </w:t>
            </w:r>
            <w:r w:rsidRPr="0035283D">
              <w:rPr>
                <w:rFonts w:eastAsia="Arial" w:cstheme="minorHAnsi"/>
                <w:color w:val="000000" w:themeColor="text1"/>
                <w:sz w:val="21"/>
                <w:szCs w:val="21"/>
              </w:rPr>
              <w:t xml:space="preserve">University will provide training and support for staff and students in the appropriate and ethical use of learning analytics data; </w:t>
            </w:r>
          </w:p>
        </w:tc>
        <w:tc>
          <w:tcPr>
            <w:tcW w:w="7702" w:type="dxa"/>
          </w:tcPr>
          <w:p w14:paraId="3105322D" w14:textId="46C9CDD6" w:rsidR="0035283D" w:rsidRPr="0035283D" w:rsidRDefault="368E5171" w:rsidP="43E31167">
            <w:pPr>
              <w:pStyle w:val="ListParagraph"/>
              <w:widowControl w:val="0"/>
              <w:tabs>
                <w:tab w:val="left" w:pos="993"/>
              </w:tabs>
              <w:spacing w:after="0" w:line="250" w:lineRule="exact"/>
              <w:ind w:left="0"/>
              <w:jc w:val="both"/>
              <w:rPr>
                <w:rFonts w:eastAsia="Arial"/>
                <w:sz w:val="21"/>
                <w:szCs w:val="21"/>
              </w:rPr>
            </w:pPr>
            <w:r w:rsidRPr="43E31167">
              <w:rPr>
                <w:rFonts w:eastAsia="Arial"/>
                <w:sz w:val="21"/>
                <w:szCs w:val="21"/>
              </w:rPr>
              <w:t xml:space="preserve">A suite of online training resources </w:t>
            </w:r>
            <w:r w:rsidR="1AB65454" w:rsidRPr="43E31167">
              <w:rPr>
                <w:rFonts w:eastAsia="Arial"/>
                <w:sz w:val="21"/>
                <w:szCs w:val="21"/>
              </w:rPr>
              <w:t>has</w:t>
            </w:r>
            <w:r w:rsidRPr="43E31167">
              <w:rPr>
                <w:rFonts w:eastAsia="Arial"/>
                <w:sz w:val="21"/>
                <w:szCs w:val="21"/>
              </w:rPr>
              <w:t xml:space="preserve"> been developed for staff and students involved in Phase 1.  These include specific information on how to interpret the data </w:t>
            </w:r>
            <w:r w:rsidR="2A244D41" w:rsidRPr="43E31167">
              <w:rPr>
                <w:rFonts w:eastAsia="Arial"/>
                <w:sz w:val="21"/>
                <w:szCs w:val="21"/>
              </w:rPr>
              <w:t xml:space="preserve">in a meaningful and conscious manner.  </w:t>
            </w:r>
            <w:r w:rsidR="34FD4B57" w:rsidRPr="43E31167">
              <w:rPr>
                <w:rFonts w:eastAsia="Arial"/>
                <w:sz w:val="21"/>
                <w:szCs w:val="21"/>
              </w:rPr>
              <w:t>Training</w:t>
            </w:r>
            <w:r w:rsidR="2A244D41" w:rsidRPr="43E31167">
              <w:rPr>
                <w:rFonts w:eastAsia="Arial"/>
                <w:sz w:val="21"/>
                <w:szCs w:val="21"/>
              </w:rPr>
              <w:t xml:space="preserve"> resources will be evaluated </w:t>
            </w:r>
            <w:r w:rsidR="5BC722BA" w:rsidRPr="43E31167">
              <w:rPr>
                <w:rFonts w:eastAsia="Arial"/>
                <w:sz w:val="21"/>
                <w:szCs w:val="21"/>
              </w:rPr>
              <w:t xml:space="preserve">alongside the LITE evaluation.  </w:t>
            </w:r>
          </w:p>
        </w:tc>
      </w:tr>
      <w:tr w:rsidR="0035283D" w:rsidRPr="0035283D" w14:paraId="4A734AB8" w14:textId="5D72215B" w:rsidTr="07C89BC0">
        <w:tc>
          <w:tcPr>
            <w:tcW w:w="977" w:type="dxa"/>
          </w:tcPr>
          <w:p w14:paraId="4C921EED" w14:textId="77777777" w:rsidR="0035283D" w:rsidRPr="0035283D" w:rsidRDefault="0035283D" w:rsidP="00E82C30">
            <w:pPr>
              <w:pStyle w:val="ListParagraph"/>
              <w:numPr>
                <w:ilvl w:val="0"/>
                <w:numId w:val="2"/>
              </w:numPr>
              <w:tabs>
                <w:tab w:val="left" w:pos="993"/>
              </w:tabs>
              <w:spacing w:after="0" w:line="240" w:lineRule="auto"/>
              <w:ind w:left="567" w:hanging="567"/>
              <w:jc w:val="both"/>
              <w:rPr>
                <w:rFonts w:cstheme="minorHAnsi"/>
                <w:color w:val="000000" w:themeColor="text1"/>
                <w:sz w:val="21"/>
                <w:szCs w:val="21"/>
              </w:rPr>
            </w:pPr>
          </w:p>
        </w:tc>
        <w:tc>
          <w:tcPr>
            <w:tcW w:w="5828" w:type="dxa"/>
          </w:tcPr>
          <w:p w14:paraId="769843F0" w14:textId="24041B25" w:rsidR="0035283D" w:rsidRPr="0035283D" w:rsidRDefault="0035283D" w:rsidP="0035283D">
            <w:pPr>
              <w:tabs>
                <w:tab w:val="left" w:pos="993"/>
              </w:tabs>
              <w:spacing w:after="0" w:line="240" w:lineRule="auto"/>
              <w:jc w:val="both"/>
              <w:rPr>
                <w:rFonts w:cstheme="minorHAnsi"/>
                <w:color w:val="000000" w:themeColor="text1"/>
                <w:sz w:val="21"/>
                <w:szCs w:val="21"/>
              </w:rPr>
            </w:pPr>
            <w:r w:rsidRPr="0035283D">
              <w:rPr>
                <w:rFonts w:cstheme="minorHAnsi"/>
                <w:color w:val="000000" w:themeColor="text1"/>
                <w:sz w:val="21"/>
                <w:szCs w:val="21"/>
              </w:rPr>
              <w:t xml:space="preserve">The University will consider the impact of learning analytics on staff roles, training requirements and workload, and recommendations will be made to the Taught Student Education Board for review and approval;  </w:t>
            </w:r>
          </w:p>
        </w:tc>
        <w:tc>
          <w:tcPr>
            <w:tcW w:w="7702" w:type="dxa"/>
          </w:tcPr>
          <w:p w14:paraId="251610AD" w14:textId="77777777" w:rsidR="0035283D" w:rsidRDefault="00912740" w:rsidP="43E31167">
            <w:pPr>
              <w:pStyle w:val="ListParagraph"/>
              <w:tabs>
                <w:tab w:val="left" w:pos="993"/>
              </w:tabs>
              <w:spacing w:after="0" w:line="240" w:lineRule="auto"/>
              <w:ind w:left="0"/>
              <w:jc w:val="both"/>
              <w:rPr>
                <w:color w:val="000000" w:themeColor="text1"/>
                <w:sz w:val="21"/>
                <w:szCs w:val="21"/>
              </w:rPr>
            </w:pPr>
            <w:r>
              <w:rPr>
                <w:color w:val="000000" w:themeColor="text1"/>
                <w:sz w:val="21"/>
                <w:szCs w:val="21"/>
              </w:rPr>
              <w:t>The impact of learning analytics data on academic personal tutors and professional service colleagues is currently underway through process mapping with this reporting to Leeds4Life and LASG</w:t>
            </w:r>
            <w:r w:rsidR="00FD3306">
              <w:rPr>
                <w:color w:val="000000" w:themeColor="text1"/>
                <w:sz w:val="21"/>
                <w:szCs w:val="21"/>
              </w:rPr>
              <w:t xml:space="preserve"> for review, feedback and approval prior to recommendations being made to TSEB.</w:t>
            </w:r>
          </w:p>
          <w:p w14:paraId="772006E1" w14:textId="6BB3D8F5" w:rsidR="00527DCE" w:rsidRPr="0035283D" w:rsidRDefault="00527DCE" w:rsidP="43E31167">
            <w:pPr>
              <w:pStyle w:val="ListParagraph"/>
              <w:tabs>
                <w:tab w:val="left" w:pos="993"/>
              </w:tabs>
              <w:spacing w:after="0" w:line="240" w:lineRule="auto"/>
              <w:ind w:left="0"/>
              <w:jc w:val="both"/>
              <w:rPr>
                <w:color w:val="000000" w:themeColor="text1"/>
                <w:sz w:val="21"/>
                <w:szCs w:val="21"/>
              </w:rPr>
            </w:pPr>
            <w:r w:rsidRPr="01688F9C">
              <w:rPr>
                <w:color w:val="000000" w:themeColor="text1"/>
                <w:sz w:val="21"/>
                <w:szCs w:val="21"/>
              </w:rPr>
              <w:t>The</w:t>
            </w:r>
            <w:r>
              <w:rPr>
                <w:color w:val="000000" w:themeColor="text1"/>
                <w:sz w:val="21"/>
                <w:szCs w:val="21"/>
              </w:rPr>
              <w:t xml:space="preserve"> broader</w:t>
            </w:r>
            <w:r w:rsidRPr="01688F9C">
              <w:rPr>
                <w:color w:val="000000" w:themeColor="text1"/>
                <w:sz w:val="21"/>
                <w:szCs w:val="21"/>
              </w:rPr>
              <w:t xml:space="preserve"> evaluation </w:t>
            </w:r>
            <w:r>
              <w:rPr>
                <w:color w:val="000000" w:themeColor="text1"/>
                <w:sz w:val="21"/>
                <w:szCs w:val="21"/>
              </w:rPr>
              <w:t xml:space="preserve">of Learning analytics </w:t>
            </w:r>
            <w:r w:rsidRPr="01688F9C">
              <w:rPr>
                <w:color w:val="000000" w:themeColor="text1"/>
                <w:sz w:val="21"/>
                <w:szCs w:val="21"/>
              </w:rPr>
              <w:t>will ask about these</w:t>
            </w:r>
            <w:r>
              <w:rPr>
                <w:color w:val="000000" w:themeColor="text1"/>
                <w:sz w:val="21"/>
                <w:szCs w:val="21"/>
              </w:rPr>
              <w:t xml:space="preserve"> and other</w:t>
            </w:r>
            <w:r w:rsidRPr="01688F9C">
              <w:rPr>
                <w:color w:val="000000" w:themeColor="text1"/>
                <w:sz w:val="21"/>
                <w:szCs w:val="21"/>
              </w:rPr>
              <w:t xml:space="preserve"> issue</w:t>
            </w:r>
            <w:r>
              <w:rPr>
                <w:color w:val="000000" w:themeColor="text1"/>
                <w:sz w:val="21"/>
                <w:szCs w:val="21"/>
              </w:rPr>
              <w:t>s, with this feeding into the continual understanding and embedding of the system at Leeds.</w:t>
            </w:r>
          </w:p>
        </w:tc>
      </w:tr>
      <w:tr w:rsidR="0035283D" w:rsidRPr="0035283D" w14:paraId="4064687D" w14:textId="268A8C0D" w:rsidTr="07C89BC0">
        <w:tc>
          <w:tcPr>
            <w:tcW w:w="977" w:type="dxa"/>
          </w:tcPr>
          <w:p w14:paraId="0A8CDE92" w14:textId="77777777" w:rsidR="0035283D" w:rsidRPr="0035283D" w:rsidRDefault="0035283D" w:rsidP="00E82C30">
            <w:pPr>
              <w:pStyle w:val="ListParagraph"/>
              <w:numPr>
                <w:ilvl w:val="0"/>
                <w:numId w:val="2"/>
              </w:numPr>
              <w:tabs>
                <w:tab w:val="left" w:pos="993"/>
              </w:tabs>
              <w:spacing w:after="0" w:line="240" w:lineRule="auto"/>
              <w:ind w:left="567" w:hanging="567"/>
              <w:jc w:val="both"/>
              <w:rPr>
                <w:rFonts w:cstheme="minorHAnsi"/>
                <w:color w:val="000000" w:themeColor="text1"/>
                <w:sz w:val="21"/>
                <w:szCs w:val="21"/>
              </w:rPr>
            </w:pPr>
          </w:p>
        </w:tc>
        <w:tc>
          <w:tcPr>
            <w:tcW w:w="5828" w:type="dxa"/>
          </w:tcPr>
          <w:p w14:paraId="44064A7D" w14:textId="1CB944B0" w:rsidR="0035283D" w:rsidRPr="0035283D" w:rsidRDefault="0035283D" w:rsidP="0035283D">
            <w:pPr>
              <w:tabs>
                <w:tab w:val="left" w:pos="993"/>
              </w:tabs>
              <w:spacing w:after="0" w:line="240" w:lineRule="auto"/>
              <w:jc w:val="both"/>
              <w:rPr>
                <w:rFonts w:cstheme="minorHAnsi"/>
                <w:color w:val="000000" w:themeColor="text1"/>
                <w:sz w:val="21"/>
                <w:szCs w:val="21"/>
              </w:rPr>
            </w:pPr>
            <w:r w:rsidRPr="0035283D">
              <w:rPr>
                <w:rFonts w:cstheme="minorHAnsi"/>
                <w:color w:val="000000" w:themeColor="text1"/>
                <w:sz w:val="21"/>
                <w:szCs w:val="21"/>
              </w:rPr>
              <w:t>Professional development opportunities will be offered to all staff using learning analytics, and mandatory training may be required to access data;</w:t>
            </w:r>
          </w:p>
        </w:tc>
        <w:tc>
          <w:tcPr>
            <w:tcW w:w="7702" w:type="dxa"/>
          </w:tcPr>
          <w:p w14:paraId="37278A9B" w14:textId="235027FB" w:rsidR="0035283D" w:rsidRPr="0035283D" w:rsidRDefault="00FD3306" w:rsidP="43E31167">
            <w:pPr>
              <w:pStyle w:val="ListParagraph"/>
              <w:tabs>
                <w:tab w:val="left" w:pos="993"/>
              </w:tabs>
              <w:spacing w:after="0" w:line="240" w:lineRule="auto"/>
              <w:ind w:left="0"/>
              <w:jc w:val="both"/>
              <w:rPr>
                <w:color w:val="000000" w:themeColor="text1"/>
                <w:sz w:val="21"/>
                <w:szCs w:val="21"/>
              </w:rPr>
            </w:pPr>
            <w:r>
              <w:rPr>
                <w:color w:val="000000" w:themeColor="text1"/>
                <w:sz w:val="21"/>
                <w:szCs w:val="21"/>
              </w:rPr>
              <w:t>An o</w:t>
            </w:r>
            <w:r w:rsidR="177BEC95" w:rsidRPr="43E31167">
              <w:rPr>
                <w:color w:val="000000" w:themeColor="text1"/>
                <w:sz w:val="21"/>
                <w:szCs w:val="21"/>
              </w:rPr>
              <w:t>nline suite of training resources will be available to all staff</w:t>
            </w:r>
            <w:r>
              <w:rPr>
                <w:color w:val="000000" w:themeColor="text1"/>
                <w:sz w:val="21"/>
                <w:szCs w:val="21"/>
              </w:rPr>
              <w:t xml:space="preserve"> on system functionality and the pedagogical aspects of the learning analytics system</w:t>
            </w:r>
            <w:r w:rsidR="177BEC95" w:rsidRPr="43E31167">
              <w:rPr>
                <w:color w:val="000000" w:themeColor="text1"/>
                <w:sz w:val="21"/>
                <w:szCs w:val="21"/>
              </w:rPr>
              <w:t xml:space="preserve">, with the expectation that staff complete the relevant training prior to using </w:t>
            </w:r>
            <w:proofErr w:type="spellStart"/>
            <w:r w:rsidR="177BEC95" w:rsidRPr="43E31167">
              <w:rPr>
                <w:color w:val="000000" w:themeColor="text1"/>
                <w:sz w:val="21"/>
                <w:szCs w:val="21"/>
              </w:rPr>
              <w:t>StREAM</w:t>
            </w:r>
            <w:proofErr w:type="spellEnd"/>
            <w:r w:rsidR="177BEC95" w:rsidRPr="43E31167">
              <w:rPr>
                <w:color w:val="000000" w:themeColor="text1"/>
                <w:sz w:val="21"/>
                <w:szCs w:val="21"/>
              </w:rPr>
              <w:t>.</w:t>
            </w:r>
          </w:p>
          <w:p w14:paraId="0F175532" w14:textId="4F04E391" w:rsidR="0035283D" w:rsidRPr="0035283D" w:rsidRDefault="3B55A8A1" w:rsidP="43E31167">
            <w:pPr>
              <w:pStyle w:val="ListParagraph"/>
              <w:tabs>
                <w:tab w:val="left" w:pos="993"/>
              </w:tabs>
              <w:spacing w:after="0" w:line="240" w:lineRule="auto"/>
              <w:ind w:left="0"/>
              <w:jc w:val="both"/>
              <w:rPr>
                <w:color w:val="000000" w:themeColor="text1"/>
                <w:sz w:val="21"/>
                <w:szCs w:val="21"/>
              </w:rPr>
            </w:pPr>
            <w:r w:rsidRPr="43E31167">
              <w:rPr>
                <w:color w:val="000000" w:themeColor="text1"/>
                <w:sz w:val="21"/>
                <w:szCs w:val="21"/>
              </w:rPr>
              <w:t>Live workshops have been offered to all staff involved in Phase 1</w:t>
            </w:r>
            <w:r w:rsidR="00FD3306">
              <w:rPr>
                <w:color w:val="000000" w:themeColor="text1"/>
                <w:sz w:val="21"/>
                <w:szCs w:val="21"/>
              </w:rPr>
              <w:t xml:space="preserve"> and will continue to be rolled out over the coming months.</w:t>
            </w:r>
          </w:p>
        </w:tc>
      </w:tr>
      <w:tr w:rsidR="0035283D" w:rsidRPr="0035283D" w14:paraId="6D50F1A9" w14:textId="1DFA9B82" w:rsidTr="07C89BC0">
        <w:tc>
          <w:tcPr>
            <w:tcW w:w="977" w:type="dxa"/>
          </w:tcPr>
          <w:p w14:paraId="02AA3152"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67095D66" w14:textId="59433737" w:rsidR="0035283D" w:rsidRPr="0035283D" w:rsidRDefault="0035283D" w:rsidP="0035283D">
            <w:pPr>
              <w:widowControl w:val="0"/>
              <w:tabs>
                <w:tab w:val="left" w:pos="993"/>
              </w:tabs>
              <w:spacing w:after="0" w:line="250" w:lineRule="exact"/>
              <w:jc w:val="both"/>
              <w:rPr>
                <w:rFonts w:eastAsia="Arial" w:cstheme="minorHAnsi"/>
                <w:sz w:val="21"/>
                <w:szCs w:val="21"/>
              </w:rPr>
            </w:pPr>
            <w:r w:rsidRPr="0035283D">
              <w:rPr>
                <w:rFonts w:eastAsia="Arial" w:cstheme="minorHAnsi"/>
                <w:sz w:val="21"/>
                <w:szCs w:val="21"/>
              </w:rPr>
              <w:t>Data generated from learning analytics will be used to generate management information about teaching quality and for enhancement purposes;</w:t>
            </w:r>
          </w:p>
        </w:tc>
        <w:tc>
          <w:tcPr>
            <w:tcW w:w="7702" w:type="dxa"/>
          </w:tcPr>
          <w:p w14:paraId="1D23E2E0" w14:textId="77777777" w:rsidR="0035283D" w:rsidRDefault="00FD3306" w:rsidP="00FD3306">
            <w:pPr>
              <w:widowControl w:val="0"/>
              <w:tabs>
                <w:tab w:val="left" w:pos="993"/>
              </w:tabs>
              <w:spacing w:after="0" w:line="250" w:lineRule="exact"/>
              <w:jc w:val="both"/>
              <w:rPr>
                <w:rFonts w:eastAsia="Arial" w:cstheme="minorHAnsi"/>
                <w:sz w:val="21"/>
                <w:szCs w:val="21"/>
              </w:rPr>
            </w:pPr>
            <w:r>
              <w:rPr>
                <w:rFonts w:eastAsia="Arial" w:cstheme="minorHAnsi"/>
                <w:sz w:val="21"/>
                <w:szCs w:val="21"/>
              </w:rPr>
              <w:t xml:space="preserve">Work is ongoing with </w:t>
            </w:r>
            <w:proofErr w:type="spellStart"/>
            <w:r>
              <w:rPr>
                <w:rFonts w:eastAsia="Arial" w:cstheme="minorHAnsi"/>
                <w:sz w:val="21"/>
                <w:szCs w:val="21"/>
              </w:rPr>
              <w:t>SolutionPath</w:t>
            </w:r>
            <w:proofErr w:type="spellEnd"/>
            <w:r>
              <w:rPr>
                <w:rFonts w:eastAsia="Arial" w:cstheme="minorHAnsi"/>
                <w:sz w:val="21"/>
                <w:szCs w:val="21"/>
              </w:rPr>
              <w:t xml:space="preserve"> and BIDA to develop the necessary understanding </w:t>
            </w:r>
            <w:r w:rsidR="00363B36">
              <w:rPr>
                <w:rFonts w:eastAsia="Arial" w:cstheme="minorHAnsi"/>
                <w:sz w:val="21"/>
                <w:szCs w:val="21"/>
              </w:rPr>
              <w:t>on how learning analytics data can be used ethically, transparently, and in accordance with this Code of Practice, to understand cohort behaviours and curriculum enhancements.</w:t>
            </w:r>
          </w:p>
          <w:p w14:paraId="728B6471" w14:textId="105CCCB4" w:rsidR="00363B36" w:rsidRPr="00FD3306" w:rsidRDefault="00363B36" w:rsidP="00FD3306">
            <w:pPr>
              <w:widowControl w:val="0"/>
              <w:tabs>
                <w:tab w:val="left" w:pos="993"/>
              </w:tabs>
              <w:spacing w:after="0" w:line="250" w:lineRule="exact"/>
              <w:jc w:val="both"/>
              <w:rPr>
                <w:rFonts w:eastAsia="Arial" w:cstheme="minorHAnsi"/>
                <w:sz w:val="21"/>
                <w:szCs w:val="21"/>
              </w:rPr>
            </w:pPr>
            <w:r>
              <w:rPr>
                <w:rFonts w:eastAsia="Arial" w:cstheme="minorHAnsi"/>
                <w:sz w:val="21"/>
                <w:szCs w:val="21"/>
              </w:rPr>
              <w:t>Data from the learning analytics system will also be used for reporting the use of various systems to support internal and external evidencing requirements.</w:t>
            </w:r>
          </w:p>
        </w:tc>
      </w:tr>
      <w:tr w:rsidR="0035283D" w:rsidRPr="0035283D" w14:paraId="0C8EAE56" w14:textId="7479BF09" w:rsidTr="07C89BC0">
        <w:tc>
          <w:tcPr>
            <w:tcW w:w="977" w:type="dxa"/>
          </w:tcPr>
          <w:p w14:paraId="73E2B742" w14:textId="77777777" w:rsidR="0035283D" w:rsidRPr="0035283D" w:rsidRDefault="0035283D" w:rsidP="00E82C30">
            <w:pPr>
              <w:pStyle w:val="ListParagraph"/>
              <w:widowControl w:val="0"/>
              <w:numPr>
                <w:ilvl w:val="0"/>
                <w:numId w:val="2"/>
              </w:numPr>
              <w:tabs>
                <w:tab w:val="left" w:pos="993"/>
              </w:tabs>
              <w:spacing w:after="0" w:line="250" w:lineRule="exact"/>
              <w:ind w:left="567" w:hanging="567"/>
              <w:jc w:val="both"/>
              <w:rPr>
                <w:rFonts w:eastAsia="Arial" w:cstheme="minorHAnsi"/>
                <w:sz w:val="21"/>
                <w:szCs w:val="21"/>
              </w:rPr>
            </w:pPr>
          </w:p>
        </w:tc>
        <w:tc>
          <w:tcPr>
            <w:tcW w:w="5828" w:type="dxa"/>
          </w:tcPr>
          <w:p w14:paraId="5553D7E7" w14:textId="5632BF53" w:rsidR="0035283D" w:rsidRPr="0035283D" w:rsidRDefault="0035283D" w:rsidP="0035283D">
            <w:pPr>
              <w:widowControl w:val="0"/>
              <w:tabs>
                <w:tab w:val="left" w:pos="993"/>
              </w:tabs>
              <w:spacing w:after="0" w:line="250" w:lineRule="exact"/>
              <w:jc w:val="both"/>
              <w:rPr>
                <w:rFonts w:ascii="Arial" w:eastAsia="Arial" w:hAnsi="Arial" w:cs="Arial"/>
              </w:rPr>
            </w:pPr>
            <w:r w:rsidRPr="0035283D">
              <w:rPr>
                <w:rFonts w:eastAsia="Arial" w:cstheme="minorHAnsi"/>
                <w:sz w:val="21"/>
                <w:szCs w:val="21"/>
              </w:rPr>
              <w:t>Data generated from learning analytics will not be used by the University to initiate investigations into staff performance, but students, staff and Schools will have the right to use the data in appeals or complaints.</w:t>
            </w:r>
            <w:r w:rsidRPr="0035283D">
              <w:rPr>
                <w:rFonts w:ascii="Arial" w:eastAsia="Arial" w:hAnsi="Arial" w:cs="Arial"/>
              </w:rPr>
              <w:t xml:space="preserve"> </w:t>
            </w:r>
          </w:p>
        </w:tc>
        <w:tc>
          <w:tcPr>
            <w:tcW w:w="7702" w:type="dxa"/>
          </w:tcPr>
          <w:p w14:paraId="57716BEB" w14:textId="2960574E" w:rsidR="0035283D" w:rsidRPr="00FC2AB0" w:rsidRDefault="008F32FC" w:rsidP="43E31167">
            <w:pPr>
              <w:pStyle w:val="ListParagraph"/>
              <w:widowControl w:val="0"/>
              <w:tabs>
                <w:tab w:val="left" w:pos="993"/>
              </w:tabs>
              <w:spacing w:after="0" w:line="250" w:lineRule="exact"/>
              <w:ind w:left="0"/>
              <w:rPr>
                <w:rFonts w:eastAsia="Arial"/>
                <w:sz w:val="21"/>
                <w:szCs w:val="21"/>
              </w:rPr>
            </w:pPr>
            <w:r>
              <w:rPr>
                <w:rFonts w:eastAsia="Arial"/>
                <w:sz w:val="21"/>
                <w:szCs w:val="21"/>
              </w:rPr>
              <w:t xml:space="preserve">This position is unchanged and has been reiterated where necessary at open meetings on the use of learning analytics at Leeds. </w:t>
            </w:r>
            <w:r w:rsidR="00FC2AB0" w:rsidRPr="01688F9C">
              <w:rPr>
                <w:rFonts w:eastAsiaTheme="minorEastAsia"/>
                <w:sz w:val="21"/>
                <w:szCs w:val="21"/>
              </w:rPr>
              <w:t xml:space="preserve">This </w:t>
            </w:r>
            <w:r w:rsidR="00FC2AB0">
              <w:rPr>
                <w:rFonts w:eastAsiaTheme="minorEastAsia"/>
                <w:sz w:val="21"/>
                <w:szCs w:val="21"/>
              </w:rPr>
              <w:t>approach will continue to be</w:t>
            </w:r>
            <w:r w:rsidR="00FC2AB0" w:rsidRPr="01688F9C">
              <w:rPr>
                <w:rFonts w:eastAsiaTheme="minorEastAsia"/>
                <w:sz w:val="21"/>
                <w:szCs w:val="21"/>
              </w:rPr>
              <w:t xml:space="preserve"> adhered to and reiterated in</w:t>
            </w:r>
            <w:r w:rsidR="00FC2AB0">
              <w:rPr>
                <w:rFonts w:eastAsiaTheme="minorEastAsia"/>
                <w:sz w:val="21"/>
                <w:szCs w:val="21"/>
              </w:rPr>
              <w:t xml:space="preserve"> future </w:t>
            </w:r>
            <w:proofErr w:type="spellStart"/>
            <w:r w:rsidR="00FC2AB0" w:rsidRPr="01688F9C">
              <w:rPr>
                <w:rFonts w:eastAsiaTheme="minorEastAsia"/>
                <w:sz w:val="21"/>
                <w:szCs w:val="21"/>
              </w:rPr>
              <w:t>comms</w:t>
            </w:r>
            <w:proofErr w:type="spellEnd"/>
            <w:r w:rsidR="00FC2AB0" w:rsidRPr="01688F9C">
              <w:rPr>
                <w:rFonts w:eastAsiaTheme="minorEastAsia"/>
                <w:sz w:val="21"/>
                <w:szCs w:val="21"/>
              </w:rPr>
              <w:t>/training</w:t>
            </w:r>
            <w:r w:rsidR="00FC2AB0">
              <w:rPr>
                <w:rFonts w:eastAsiaTheme="minorEastAsia"/>
                <w:sz w:val="21"/>
                <w:szCs w:val="21"/>
              </w:rPr>
              <w:t>.</w:t>
            </w:r>
          </w:p>
        </w:tc>
      </w:tr>
    </w:tbl>
    <w:p w14:paraId="6967F3D5" w14:textId="77777777" w:rsidR="00216318" w:rsidRDefault="00216318" w:rsidP="0035283D"/>
    <w:p w14:paraId="608D8607" w14:textId="657F8D98" w:rsidR="0035283D" w:rsidRDefault="0035283D" w:rsidP="0035283D">
      <w:r>
        <w:t>Learning Analytics Project Team</w:t>
      </w:r>
    </w:p>
    <w:sectPr w:rsidR="0035283D" w:rsidSect="0035283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7AC8"/>
    <w:multiLevelType w:val="hybridMultilevel"/>
    <w:tmpl w:val="53208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A95542"/>
    <w:multiLevelType w:val="hybridMultilevel"/>
    <w:tmpl w:val="F582068A"/>
    <w:lvl w:ilvl="0" w:tplc="B810ED20">
      <w:start w:val="1"/>
      <w:numFmt w:val="lowerRoman"/>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07FFD"/>
    <w:multiLevelType w:val="hybridMultilevel"/>
    <w:tmpl w:val="0290A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C13D65"/>
    <w:multiLevelType w:val="hybridMultilevel"/>
    <w:tmpl w:val="28D0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72"/>
    <w:rsid w:val="0000202A"/>
    <w:rsid w:val="00004242"/>
    <w:rsid w:val="00052E45"/>
    <w:rsid w:val="0007054F"/>
    <w:rsid w:val="0010603D"/>
    <w:rsid w:val="001A47D4"/>
    <w:rsid w:val="001E15C4"/>
    <w:rsid w:val="001E5248"/>
    <w:rsid w:val="001F0814"/>
    <w:rsid w:val="00203A8F"/>
    <w:rsid w:val="0021315C"/>
    <w:rsid w:val="00216318"/>
    <w:rsid w:val="00234362"/>
    <w:rsid w:val="00241C93"/>
    <w:rsid w:val="002540DD"/>
    <w:rsid w:val="00281A73"/>
    <w:rsid w:val="002A26C3"/>
    <w:rsid w:val="002D62C7"/>
    <w:rsid w:val="0031707E"/>
    <w:rsid w:val="0035283D"/>
    <w:rsid w:val="00363B36"/>
    <w:rsid w:val="00527DCE"/>
    <w:rsid w:val="0053683C"/>
    <w:rsid w:val="005A0AAD"/>
    <w:rsid w:val="00600C95"/>
    <w:rsid w:val="00755D81"/>
    <w:rsid w:val="007804C2"/>
    <w:rsid w:val="007C7CB7"/>
    <w:rsid w:val="008100A4"/>
    <w:rsid w:val="00872892"/>
    <w:rsid w:val="008968D9"/>
    <w:rsid w:val="008F32FC"/>
    <w:rsid w:val="00912740"/>
    <w:rsid w:val="00923A79"/>
    <w:rsid w:val="0098357D"/>
    <w:rsid w:val="009E4C63"/>
    <w:rsid w:val="00A0172E"/>
    <w:rsid w:val="00A242E6"/>
    <w:rsid w:val="00A54DA0"/>
    <w:rsid w:val="00A765FA"/>
    <w:rsid w:val="00A81D3D"/>
    <w:rsid w:val="00B11486"/>
    <w:rsid w:val="00B76E01"/>
    <w:rsid w:val="00BA5673"/>
    <w:rsid w:val="00CB4D72"/>
    <w:rsid w:val="00D24AB8"/>
    <w:rsid w:val="00D55834"/>
    <w:rsid w:val="00DE1B41"/>
    <w:rsid w:val="00DF65DE"/>
    <w:rsid w:val="00E37A4F"/>
    <w:rsid w:val="00E82C30"/>
    <w:rsid w:val="00EB6450"/>
    <w:rsid w:val="00F93DB9"/>
    <w:rsid w:val="00FC2AB0"/>
    <w:rsid w:val="00FD1411"/>
    <w:rsid w:val="00FD3306"/>
    <w:rsid w:val="00FD3974"/>
    <w:rsid w:val="00FE1DD0"/>
    <w:rsid w:val="013D56DA"/>
    <w:rsid w:val="01688F9C"/>
    <w:rsid w:val="01BE5CBB"/>
    <w:rsid w:val="0226D00F"/>
    <w:rsid w:val="0237D910"/>
    <w:rsid w:val="02D7601D"/>
    <w:rsid w:val="032C9822"/>
    <w:rsid w:val="0349241B"/>
    <w:rsid w:val="043750F2"/>
    <w:rsid w:val="05DF9AE5"/>
    <w:rsid w:val="05FD62C4"/>
    <w:rsid w:val="06BEFBD3"/>
    <w:rsid w:val="06CF9DFA"/>
    <w:rsid w:val="0711E8B2"/>
    <w:rsid w:val="074C9FBE"/>
    <w:rsid w:val="07C89BC0"/>
    <w:rsid w:val="09EA3DC0"/>
    <w:rsid w:val="09F50A61"/>
    <w:rsid w:val="0A4F575A"/>
    <w:rsid w:val="0A75A9F3"/>
    <w:rsid w:val="0AAE03AD"/>
    <w:rsid w:val="0C4C4CB3"/>
    <w:rsid w:val="0C651A06"/>
    <w:rsid w:val="0D2976FF"/>
    <w:rsid w:val="0D53639D"/>
    <w:rsid w:val="0DDCA617"/>
    <w:rsid w:val="0EA50ABC"/>
    <w:rsid w:val="0EB0E55B"/>
    <w:rsid w:val="0EB312C8"/>
    <w:rsid w:val="0EFEFA23"/>
    <w:rsid w:val="0F33B25A"/>
    <w:rsid w:val="0F97C29A"/>
    <w:rsid w:val="1047BD8E"/>
    <w:rsid w:val="10BB4A4E"/>
    <w:rsid w:val="1172C86E"/>
    <w:rsid w:val="11E0CDC6"/>
    <w:rsid w:val="11FCE822"/>
    <w:rsid w:val="128C831F"/>
    <w:rsid w:val="129EAE5E"/>
    <w:rsid w:val="12A8BA24"/>
    <w:rsid w:val="13C3264F"/>
    <w:rsid w:val="1630DCD0"/>
    <w:rsid w:val="168DCD2C"/>
    <w:rsid w:val="171E78A5"/>
    <w:rsid w:val="177BEC95"/>
    <w:rsid w:val="186E61AB"/>
    <w:rsid w:val="18969772"/>
    <w:rsid w:val="18E0042D"/>
    <w:rsid w:val="1911A75E"/>
    <w:rsid w:val="19D676EF"/>
    <w:rsid w:val="1AB65454"/>
    <w:rsid w:val="1C4C179D"/>
    <w:rsid w:val="1D45B2B5"/>
    <w:rsid w:val="1D58C326"/>
    <w:rsid w:val="1EE358B0"/>
    <w:rsid w:val="1F7C9522"/>
    <w:rsid w:val="203D9917"/>
    <w:rsid w:val="21A4118C"/>
    <w:rsid w:val="21B9FFF1"/>
    <w:rsid w:val="21CF83B4"/>
    <w:rsid w:val="224271E6"/>
    <w:rsid w:val="22EAB483"/>
    <w:rsid w:val="23938C3A"/>
    <w:rsid w:val="23F2A44C"/>
    <w:rsid w:val="23FBFF8E"/>
    <w:rsid w:val="24A29F40"/>
    <w:rsid w:val="25529A34"/>
    <w:rsid w:val="259EF32C"/>
    <w:rsid w:val="27D29243"/>
    <w:rsid w:val="288A3AF6"/>
    <w:rsid w:val="295CB734"/>
    <w:rsid w:val="2A244D41"/>
    <w:rsid w:val="2A5CFB93"/>
    <w:rsid w:val="2A8E6151"/>
    <w:rsid w:val="2C33AA4E"/>
    <w:rsid w:val="2D6EF188"/>
    <w:rsid w:val="2DA63975"/>
    <w:rsid w:val="2DBA8FF6"/>
    <w:rsid w:val="2E15E783"/>
    <w:rsid w:val="2E8D4985"/>
    <w:rsid w:val="2F08FDDF"/>
    <w:rsid w:val="2F111D3B"/>
    <w:rsid w:val="2F13B6B7"/>
    <w:rsid w:val="2F54E53A"/>
    <w:rsid w:val="30600A22"/>
    <w:rsid w:val="310FF06A"/>
    <w:rsid w:val="311FE066"/>
    <w:rsid w:val="314D8845"/>
    <w:rsid w:val="3258CADF"/>
    <w:rsid w:val="32C13E33"/>
    <w:rsid w:val="3326FB30"/>
    <w:rsid w:val="3399539A"/>
    <w:rsid w:val="34E104CE"/>
    <w:rsid w:val="34FD4B57"/>
    <w:rsid w:val="3505E64B"/>
    <w:rsid w:val="35BDCB6C"/>
    <w:rsid w:val="35E5A917"/>
    <w:rsid w:val="35E915C5"/>
    <w:rsid w:val="364F7702"/>
    <w:rsid w:val="365329D5"/>
    <w:rsid w:val="368E5171"/>
    <w:rsid w:val="36B955CA"/>
    <w:rsid w:val="370BF068"/>
    <w:rsid w:val="371ACBFC"/>
    <w:rsid w:val="37B380F4"/>
    <w:rsid w:val="3939C19F"/>
    <w:rsid w:val="39730BD0"/>
    <w:rsid w:val="397AF956"/>
    <w:rsid w:val="39F8A76B"/>
    <w:rsid w:val="39FECD0C"/>
    <w:rsid w:val="3B55A8A1"/>
    <w:rsid w:val="3BF78DC9"/>
    <w:rsid w:val="3CAAAC92"/>
    <w:rsid w:val="3DB1B08B"/>
    <w:rsid w:val="3DC149F5"/>
    <w:rsid w:val="3E4EDC16"/>
    <w:rsid w:val="3F078CFF"/>
    <w:rsid w:val="3F4D80EC"/>
    <w:rsid w:val="3FBD177D"/>
    <w:rsid w:val="3FE5EEDE"/>
    <w:rsid w:val="4007F04F"/>
    <w:rsid w:val="40C1AE42"/>
    <w:rsid w:val="4212C896"/>
    <w:rsid w:val="42474106"/>
    <w:rsid w:val="427B3BEA"/>
    <w:rsid w:val="430CE47D"/>
    <w:rsid w:val="434C4968"/>
    <w:rsid w:val="43E31167"/>
    <w:rsid w:val="43F94F04"/>
    <w:rsid w:val="4505BA81"/>
    <w:rsid w:val="45D12F0D"/>
    <w:rsid w:val="46B2B137"/>
    <w:rsid w:val="4721A183"/>
    <w:rsid w:val="480A166F"/>
    <w:rsid w:val="4831E926"/>
    <w:rsid w:val="4839865B"/>
    <w:rsid w:val="489676B7"/>
    <w:rsid w:val="48AD8829"/>
    <w:rsid w:val="48ADA5DB"/>
    <w:rsid w:val="49272230"/>
    <w:rsid w:val="49ED82FA"/>
    <w:rsid w:val="49EDF399"/>
    <w:rsid w:val="4A435019"/>
    <w:rsid w:val="4B566464"/>
    <w:rsid w:val="4B5C537B"/>
    <w:rsid w:val="4D2523BC"/>
    <w:rsid w:val="4E19E2CE"/>
    <w:rsid w:val="4E914F2C"/>
    <w:rsid w:val="4ECE3D7D"/>
    <w:rsid w:val="4FA0DE92"/>
    <w:rsid w:val="4FF09189"/>
    <w:rsid w:val="50019A8A"/>
    <w:rsid w:val="51BD10F5"/>
    <w:rsid w:val="51F13C73"/>
    <w:rsid w:val="523A7F95"/>
    <w:rsid w:val="5262CE9B"/>
    <w:rsid w:val="52880472"/>
    <w:rsid w:val="5337FF66"/>
    <w:rsid w:val="5365BFED"/>
    <w:rsid w:val="5372CC02"/>
    <w:rsid w:val="5462B295"/>
    <w:rsid w:val="5479E1B9"/>
    <w:rsid w:val="56FEC500"/>
    <w:rsid w:val="57A79CB7"/>
    <w:rsid w:val="57B87089"/>
    <w:rsid w:val="57EC60D5"/>
    <w:rsid w:val="5821190C"/>
    <w:rsid w:val="5874FE53"/>
    <w:rsid w:val="595A9C3C"/>
    <w:rsid w:val="59631CE4"/>
    <w:rsid w:val="59C073DF"/>
    <w:rsid w:val="59F7BBCC"/>
    <w:rsid w:val="5B29E8EE"/>
    <w:rsid w:val="5BC722BA"/>
    <w:rsid w:val="5C0451AE"/>
    <w:rsid w:val="5C1DABE1"/>
    <w:rsid w:val="5C22B296"/>
    <w:rsid w:val="5C4D78E0"/>
    <w:rsid w:val="5C94CDAF"/>
    <w:rsid w:val="5C9D84A3"/>
    <w:rsid w:val="5CCE1872"/>
    <w:rsid w:val="5FC9B348"/>
    <w:rsid w:val="6093370B"/>
    <w:rsid w:val="60A80B35"/>
    <w:rsid w:val="60D6AB5E"/>
    <w:rsid w:val="610B8147"/>
    <w:rsid w:val="611B8AD0"/>
    <w:rsid w:val="61B25D67"/>
    <w:rsid w:val="628CED65"/>
    <w:rsid w:val="629D6BE4"/>
    <w:rsid w:val="63B4B0F4"/>
    <w:rsid w:val="64AD5BC5"/>
    <w:rsid w:val="65966EAB"/>
    <w:rsid w:val="66046808"/>
    <w:rsid w:val="6631C00D"/>
    <w:rsid w:val="67A03869"/>
    <w:rsid w:val="68018880"/>
    <w:rsid w:val="6858E6D8"/>
    <w:rsid w:val="698E1648"/>
    <w:rsid w:val="69BD6F4C"/>
    <w:rsid w:val="69C2CE7F"/>
    <w:rsid w:val="69E80456"/>
    <w:rsid w:val="6AF62B8C"/>
    <w:rsid w:val="6B4212E7"/>
    <w:rsid w:val="6B86986D"/>
    <w:rsid w:val="6BB1A978"/>
    <w:rsid w:val="6BBB8F3C"/>
    <w:rsid w:val="6C88A6F6"/>
    <w:rsid w:val="6EAA3AA2"/>
    <w:rsid w:val="6F15AAC4"/>
    <w:rsid w:val="6F353195"/>
    <w:rsid w:val="72A8055E"/>
    <w:rsid w:val="72AD36BA"/>
    <w:rsid w:val="7326B30F"/>
    <w:rsid w:val="73619169"/>
    <w:rsid w:val="7483E575"/>
    <w:rsid w:val="74B17A6F"/>
    <w:rsid w:val="75080F79"/>
    <w:rsid w:val="757EC6F6"/>
    <w:rsid w:val="770A56D1"/>
    <w:rsid w:val="783CBAE3"/>
    <w:rsid w:val="798B9D86"/>
    <w:rsid w:val="79F6488B"/>
    <w:rsid w:val="7ADA7348"/>
    <w:rsid w:val="7B5AF297"/>
    <w:rsid w:val="7BA1E607"/>
    <w:rsid w:val="7BDE0047"/>
    <w:rsid w:val="7CCC9936"/>
    <w:rsid w:val="7D4720D0"/>
    <w:rsid w:val="7E6E8FBA"/>
    <w:rsid w:val="7E9C24B4"/>
    <w:rsid w:val="7EA347F1"/>
    <w:rsid w:val="7F42CEFE"/>
    <w:rsid w:val="7F70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25C4028"/>
  <w15:chartTrackingRefBased/>
  <w15:docId w15:val="{EFC36DBE-6FA5-2C4F-B9A1-37390FE5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8D9"/>
    <w:pPr>
      <w:spacing w:after="160" w:line="259" w:lineRule="auto"/>
    </w:pPr>
    <w:rPr>
      <w:sz w:val="22"/>
      <w:szCs w:val="22"/>
    </w:rPr>
  </w:style>
  <w:style w:type="paragraph" w:styleId="Heading1">
    <w:name w:val="heading 1"/>
    <w:basedOn w:val="Normal"/>
    <w:next w:val="Normal"/>
    <w:link w:val="Heading1Char"/>
    <w:uiPriority w:val="9"/>
    <w:qFormat/>
    <w:rsid w:val="008968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D7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B4D72"/>
    <w:rPr>
      <w:b/>
      <w:bCs/>
    </w:rPr>
  </w:style>
  <w:style w:type="character" w:customStyle="1" w:styleId="Heading1Char">
    <w:name w:val="Heading 1 Char"/>
    <w:basedOn w:val="DefaultParagraphFont"/>
    <w:link w:val="Heading1"/>
    <w:uiPriority w:val="9"/>
    <w:rsid w:val="008968D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968D9"/>
    <w:pPr>
      <w:ind w:left="720"/>
      <w:contextualSpacing/>
    </w:pPr>
  </w:style>
  <w:style w:type="table" w:styleId="TableGrid">
    <w:name w:val="Table Grid"/>
    <w:basedOn w:val="TableNormal"/>
    <w:uiPriority w:val="39"/>
    <w:rsid w:val="00352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52263">
      <w:bodyDiv w:val="1"/>
      <w:marLeft w:val="0"/>
      <w:marRight w:val="0"/>
      <w:marTop w:val="0"/>
      <w:marBottom w:val="0"/>
      <w:divBdr>
        <w:top w:val="none" w:sz="0" w:space="0" w:color="auto"/>
        <w:left w:val="none" w:sz="0" w:space="0" w:color="auto"/>
        <w:bottom w:val="none" w:sz="0" w:space="0" w:color="auto"/>
        <w:right w:val="none" w:sz="0" w:space="0" w:color="auto"/>
      </w:divBdr>
      <w:divsChild>
        <w:div w:id="2070225541">
          <w:marLeft w:val="0"/>
          <w:marRight w:val="0"/>
          <w:marTop w:val="0"/>
          <w:marBottom w:val="0"/>
          <w:divBdr>
            <w:top w:val="none" w:sz="0" w:space="0" w:color="auto"/>
            <w:left w:val="none" w:sz="0" w:space="0" w:color="auto"/>
            <w:bottom w:val="none" w:sz="0" w:space="0" w:color="auto"/>
            <w:right w:val="none" w:sz="0" w:space="0" w:color="auto"/>
          </w:divBdr>
          <w:divsChild>
            <w:div w:id="438990984">
              <w:marLeft w:val="0"/>
              <w:marRight w:val="0"/>
              <w:marTop w:val="0"/>
              <w:marBottom w:val="0"/>
              <w:divBdr>
                <w:top w:val="none" w:sz="0" w:space="0" w:color="auto"/>
                <w:left w:val="none" w:sz="0" w:space="0" w:color="auto"/>
                <w:bottom w:val="none" w:sz="0" w:space="0" w:color="auto"/>
                <w:right w:val="none" w:sz="0" w:space="0" w:color="auto"/>
              </w:divBdr>
            </w:div>
            <w:div w:id="622617781">
              <w:marLeft w:val="0"/>
              <w:marRight w:val="0"/>
              <w:marTop w:val="0"/>
              <w:marBottom w:val="0"/>
              <w:divBdr>
                <w:top w:val="none" w:sz="0" w:space="0" w:color="auto"/>
                <w:left w:val="none" w:sz="0" w:space="0" w:color="auto"/>
                <w:bottom w:val="none" w:sz="0" w:space="0" w:color="auto"/>
                <w:right w:val="none" w:sz="0" w:space="0" w:color="auto"/>
              </w:divBdr>
            </w:div>
            <w:div w:id="2249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4C6F12BAD7245922C9BF3811054CA" ma:contentTypeVersion="7" ma:contentTypeDescription="Create a new document." ma:contentTypeScope="" ma:versionID="51a19e28466f02e6bfbfc86bd871135e">
  <xsd:schema xmlns:xsd="http://www.w3.org/2001/XMLSchema" xmlns:xs="http://www.w3.org/2001/XMLSchema" xmlns:p="http://schemas.microsoft.com/office/2006/metadata/properties" xmlns:ns2="18700b4d-1241-4187-a239-75a9b178252e" xmlns:ns3="c2e12dc8-d27d-4e53-b407-df5522342b61" targetNamespace="http://schemas.microsoft.com/office/2006/metadata/properties" ma:root="true" ma:fieldsID="4c50d88b0931ef86440c116ee6d82f4a" ns2:_="" ns3:_="">
    <xsd:import namespace="18700b4d-1241-4187-a239-75a9b178252e"/>
    <xsd:import namespace="c2e12dc8-d27d-4e53-b407-df5522342b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0b4d-1241-4187-a239-75a9b1782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12dc8-d27d-4e53-b407-df5522342b6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42BCB-CD05-4798-A621-FC3F09DAB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00b4d-1241-4187-a239-75a9b178252e"/>
    <ds:schemaRef ds:uri="c2e12dc8-d27d-4e53-b407-df5522342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20E63-7352-4DE6-99F3-8DB56D59C3F3}">
  <ds:schemaRefs>
    <ds:schemaRef ds:uri="http://schemas.microsoft.com/sharepoint/v3/contenttype/forms"/>
  </ds:schemaRefs>
</ds:datastoreItem>
</file>

<file path=customXml/itemProps3.xml><?xml version="1.0" encoding="utf-8"?>
<ds:datastoreItem xmlns:ds="http://schemas.openxmlformats.org/officeDocument/2006/customXml" ds:itemID="{1D6CEF3B-0765-4C2C-A469-400E3090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Pickering</dc:creator>
  <cp:keywords/>
  <dc:description/>
  <cp:lastModifiedBy>Leigh Dowd</cp:lastModifiedBy>
  <cp:revision>2</cp:revision>
  <dcterms:created xsi:type="dcterms:W3CDTF">2021-06-08T12:28:00Z</dcterms:created>
  <dcterms:modified xsi:type="dcterms:W3CDTF">2021-06-08T12:28:00Z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0x010100DFD4C6F12BAD7245922C9BF3811054CA</vt:lpwstr>
  </property>
</Properties>
</file>