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2"/>
        <w:gridCol w:w="11894"/>
      </w:tblGrid>
      <w:tr>
        <w:trPr>
          <w:trHeight w:val="777" w:hRule="atLeast"/>
        </w:trPr>
        <w:tc>
          <w:tcPr>
            <w:tcW w:w="6312" w:type="dxa"/>
            <w:tcBorders>
              <w:bottom w:val="single" w:sz="36" w:space="0" w:color="FFFFFF"/>
              <w:right w:val="single" w:sz="12" w:space="0" w:color="000000"/>
            </w:tcBorders>
            <w:shd w:val="clear" w:color="auto" w:fill="E7E6E6"/>
          </w:tcPr>
          <w:p>
            <w:pPr>
              <w:pStyle w:val="TableParagraph"/>
              <w:spacing w:before="38"/>
              <w:rPr>
                <w:b/>
                <w:sz w:val="54"/>
              </w:rPr>
            </w:pPr>
            <w:r>
              <w:rPr>
                <w:b/>
                <w:sz w:val="54"/>
              </w:rPr>
              <w:t>Function</w:t>
            </w:r>
          </w:p>
        </w:tc>
        <w:tc>
          <w:tcPr>
            <w:tcW w:w="11894" w:type="dxa"/>
            <w:tcBorders>
              <w:left w:val="single" w:sz="12" w:space="0" w:color="000000"/>
              <w:bottom w:val="single" w:sz="36" w:space="0" w:color="FFFFFF"/>
            </w:tcBorders>
            <w:shd w:val="clear" w:color="auto" w:fill="E7E6E6"/>
          </w:tcPr>
          <w:p>
            <w:pPr>
              <w:pStyle w:val="TableParagraph"/>
              <w:spacing w:before="38"/>
              <w:rPr>
                <w:b/>
                <w:sz w:val="54"/>
              </w:rPr>
            </w:pPr>
            <w:r>
              <w:rPr>
                <w:b/>
                <w:sz w:val="54"/>
              </w:rPr>
              <w:t>Proposed</w:t>
            </w:r>
            <w:r>
              <w:rPr>
                <w:b/>
                <w:spacing w:val="-7"/>
                <w:sz w:val="54"/>
              </w:rPr>
              <w:t> </w:t>
            </w:r>
            <w:r>
              <w:rPr>
                <w:b/>
                <w:sz w:val="54"/>
              </w:rPr>
              <w:t>solution</w:t>
            </w:r>
          </w:p>
        </w:tc>
      </w:tr>
      <w:tr>
        <w:trPr>
          <w:trHeight w:val="1606" w:hRule="atLeast"/>
        </w:trPr>
        <w:tc>
          <w:tcPr>
            <w:tcW w:w="6312" w:type="dxa"/>
            <w:tcBorders>
              <w:top w:val="single" w:sz="36" w:space="0" w:color="FFFFFF"/>
              <w:bottom w:val="single" w:sz="12" w:space="0" w:color="000000"/>
              <w:righ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485"/>
              <w:ind w:left="451"/>
              <w:rPr>
                <w:sz w:val="48"/>
              </w:rPr>
            </w:pPr>
            <w:r>
              <w:rPr>
                <w:color w:val="FFFFFF"/>
                <w:sz w:val="48"/>
              </w:rPr>
              <w:t>Academic</w:t>
            </w:r>
            <w:r>
              <w:rPr>
                <w:color w:val="FFFFFF"/>
                <w:spacing w:val="-21"/>
                <w:sz w:val="48"/>
              </w:rPr>
              <w:t> </w:t>
            </w:r>
            <w:r>
              <w:rPr>
                <w:color w:val="FFFFFF"/>
                <w:sz w:val="48"/>
              </w:rPr>
              <w:t>Personal</w:t>
            </w:r>
            <w:r>
              <w:rPr>
                <w:color w:val="FFFFFF"/>
                <w:spacing w:val="-20"/>
                <w:sz w:val="48"/>
              </w:rPr>
              <w:t> </w:t>
            </w:r>
            <w:r>
              <w:rPr>
                <w:color w:val="FFFFFF"/>
                <w:sz w:val="48"/>
              </w:rPr>
              <w:t>Tutoring</w:t>
            </w:r>
          </w:p>
        </w:tc>
        <w:tc>
          <w:tcPr>
            <w:tcW w:w="11894" w:type="dxa"/>
            <w:tcBorders>
              <w:top w:val="single" w:sz="36" w:space="0" w:color="FFFFFF"/>
              <w:left w:val="single" w:sz="12" w:space="0" w:color="000000"/>
              <w:bottom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6"/>
              <w:ind w:left="0"/>
              <w:rPr>
                <w:rFonts w:ascii="Times New Roman"/>
                <w:sz w:val="47"/>
              </w:rPr>
            </w:pPr>
          </w:p>
          <w:p>
            <w:pPr>
              <w:pStyle w:val="TableParagraph"/>
              <w:rPr>
                <w:sz w:val="40"/>
              </w:rPr>
            </w:pPr>
            <w:r>
              <w:rPr>
                <w:color w:val="FFFFFF"/>
                <w:sz w:val="40"/>
              </w:rPr>
              <w:t>Central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Leeds</w:t>
            </w:r>
            <w:r>
              <w:rPr>
                <w:i/>
                <w:color w:val="FFFFFF"/>
                <w:sz w:val="40"/>
              </w:rPr>
              <w:t>for</w:t>
            </w:r>
            <w:r>
              <w:rPr>
                <w:color w:val="FFFFFF"/>
                <w:sz w:val="40"/>
              </w:rPr>
              <w:t>Life,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will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be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supported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by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PebblePad</w:t>
            </w:r>
          </w:p>
        </w:tc>
      </w:tr>
      <w:tr>
        <w:trPr>
          <w:trHeight w:val="2174" w:hRule="atLeast"/>
        </w:trPr>
        <w:tc>
          <w:tcPr>
            <w:tcW w:w="63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line="237" w:lineRule="auto" w:before="500"/>
              <w:ind w:left="1172" w:right="1138" w:firstLine="860"/>
              <w:rPr>
                <w:sz w:val="48"/>
              </w:rPr>
            </w:pPr>
            <w:r>
              <w:rPr>
                <w:color w:val="FFFFFF"/>
                <w:sz w:val="48"/>
              </w:rPr>
              <w:t>Broadening</w:t>
            </w:r>
            <w:r>
              <w:rPr>
                <w:color w:val="FFFFFF"/>
                <w:spacing w:val="1"/>
                <w:sz w:val="48"/>
              </w:rPr>
              <w:t> </w:t>
            </w:r>
            <w:r>
              <w:rPr>
                <w:color w:val="FFFFFF"/>
                <w:sz w:val="48"/>
              </w:rPr>
              <w:t>(Discovery</w:t>
            </w:r>
            <w:r>
              <w:rPr>
                <w:color w:val="FFFFFF"/>
                <w:spacing w:val="-15"/>
                <w:sz w:val="48"/>
              </w:rPr>
              <w:t> </w:t>
            </w:r>
            <w:r>
              <w:rPr>
                <w:color w:val="FFFFFF"/>
                <w:sz w:val="48"/>
              </w:rPr>
              <w:t>modules)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before="3"/>
              <w:ind w:left="0"/>
              <w:rPr>
                <w:rFonts w:ascii="Times New Roman"/>
                <w:sz w:val="53"/>
              </w:rPr>
            </w:pPr>
          </w:p>
          <w:p>
            <w:pPr>
              <w:pStyle w:val="TableParagraph"/>
              <w:spacing w:line="235" w:lineRule="auto"/>
              <w:ind w:right="1669"/>
              <w:rPr>
                <w:sz w:val="40"/>
              </w:rPr>
            </w:pPr>
            <w:r>
              <w:rPr>
                <w:color w:val="FFFFFF"/>
                <w:sz w:val="40"/>
              </w:rPr>
              <w:t>Future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approach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part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of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Curriculum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Redefined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Project.</w:t>
            </w:r>
            <w:r>
              <w:rPr>
                <w:color w:val="FFFFFF"/>
                <w:spacing w:val="-88"/>
                <w:sz w:val="40"/>
              </w:rPr>
              <w:t> </w:t>
            </w:r>
            <w:r>
              <w:rPr>
                <w:color w:val="FFFFFF"/>
                <w:sz w:val="40"/>
              </w:rPr>
              <w:t>Module</w:t>
            </w:r>
            <w:r>
              <w:rPr>
                <w:color w:val="FFFFFF"/>
                <w:spacing w:val="-3"/>
                <w:sz w:val="40"/>
              </w:rPr>
              <w:t> </w:t>
            </w:r>
            <w:r>
              <w:rPr>
                <w:color w:val="FFFFFF"/>
                <w:sz w:val="40"/>
              </w:rPr>
              <w:t>information</w:t>
            </w:r>
            <w:r>
              <w:rPr>
                <w:color w:val="FFFFFF"/>
                <w:spacing w:val="-4"/>
                <w:sz w:val="40"/>
              </w:rPr>
              <w:t> </w:t>
            </w:r>
            <w:r>
              <w:rPr>
                <w:color w:val="FFFFFF"/>
                <w:sz w:val="40"/>
              </w:rPr>
              <w:t>will</w:t>
            </w:r>
            <w:r>
              <w:rPr>
                <w:color w:val="FFFFFF"/>
                <w:spacing w:val="-3"/>
                <w:sz w:val="40"/>
              </w:rPr>
              <w:t> </w:t>
            </w:r>
            <w:r>
              <w:rPr>
                <w:color w:val="FFFFFF"/>
                <w:sz w:val="40"/>
              </w:rPr>
              <w:t>continue</w:t>
            </w:r>
            <w:r>
              <w:rPr>
                <w:color w:val="FFFFFF"/>
                <w:spacing w:val="-2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be</w:t>
            </w:r>
            <w:r>
              <w:rPr>
                <w:color w:val="FFFFFF"/>
                <w:spacing w:val="-3"/>
                <w:sz w:val="40"/>
              </w:rPr>
              <w:t> </w:t>
            </w:r>
            <w:r>
              <w:rPr>
                <w:color w:val="FFFFFF"/>
                <w:sz w:val="40"/>
              </w:rPr>
              <w:t>available</w:t>
            </w:r>
          </w:p>
        </w:tc>
      </w:tr>
      <w:tr>
        <w:trPr>
          <w:trHeight w:val="1647" w:hRule="atLeast"/>
        </w:trPr>
        <w:tc>
          <w:tcPr>
            <w:tcW w:w="63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518"/>
              <w:ind w:left="1255"/>
              <w:rPr>
                <w:sz w:val="48"/>
              </w:rPr>
            </w:pPr>
            <w:r>
              <w:rPr>
                <w:color w:val="FFFFFF"/>
                <w:sz w:val="48"/>
              </w:rPr>
              <w:t>Language</w:t>
            </w:r>
            <w:r>
              <w:rPr>
                <w:color w:val="FFFFFF"/>
                <w:spacing w:val="-12"/>
                <w:sz w:val="48"/>
              </w:rPr>
              <w:t> </w:t>
            </w:r>
            <w:r>
              <w:rPr>
                <w:color w:val="FFFFFF"/>
                <w:sz w:val="48"/>
              </w:rPr>
              <w:t>Exchange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9"/>
              <w:ind w:left="0"/>
              <w:rPr>
                <w:rFonts w:ascii="Times New Roman"/>
                <w:sz w:val="50"/>
              </w:rPr>
            </w:pPr>
          </w:p>
          <w:p>
            <w:pPr>
              <w:pStyle w:val="TableParagraph"/>
              <w:rPr>
                <w:sz w:val="40"/>
              </w:rPr>
            </w:pPr>
            <w:r>
              <w:rPr>
                <w:color w:val="FFFFFF"/>
                <w:sz w:val="40"/>
              </w:rPr>
              <w:t>Moving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a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new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online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home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linked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Language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Centre</w:t>
            </w:r>
          </w:p>
        </w:tc>
      </w:tr>
      <w:tr>
        <w:trPr>
          <w:trHeight w:val="1614" w:hRule="atLeast"/>
        </w:trPr>
        <w:tc>
          <w:tcPr>
            <w:tcW w:w="63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before="501"/>
              <w:ind w:left="1694"/>
              <w:rPr>
                <w:sz w:val="48"/>
              </w:rPr>
            </w:pPr>
            <w:r>
              <w:rPr>
                <w:color w:val="FFFFFF"/>
                <w:sz w:val="48"/>
              </w:rPr>
              <w:t>Leeds</w:t>
            </w:r>
            <w:r>
              <w:rPr>
                <w:color w:val="FFFFFF"/>
                <w:spacing w:val="-6"/>
                <w:sz w:val="48"/>
              </w:rPr>
              <w:t> </w:t>
            </w:r>
            <w:r>
              <w:rPr>
                <w:color w:val="FFFFFF"/>
                <w:sz w:val="48"/>
              </w:rPr>
              <w:t>Network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line="235" w:lineRule="auto" w:before="336"/>
              <w:rPr>
                <w:sz w:val="40"/>
              </w:rPr>
            </w:pPr>
            <w:r>
              <w:rPr>
                <w:color w:val="FFFFFF"/>
                <w:sz w:val="40"/>
              </w:rPr>
              <w:t>Long-term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successor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being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identified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with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improved</w:t>
            </w:r>
            <w:r>
              <w:rPr>
                <w:color w:val="FFFFFF"/>
                <w:spacing w:val="-4"/>
                <w:sz w:val="40"/>
              </w:rPr>
              <w:t> </w:t>
            </w:r>
            <w:r>
              <w:rPr>
                <w:color w:val="FFFFFF"/>
                <w:sz w:val="40"/>
              </w:rPr>
              <w:t>functionality</w:t>
            </w:r>
            <w:r>
              <w:rPr>
                <w:color w:val="FFFFFF"/>
                <w:spacing w:val="-87"/>
                <w:sz w:val="40"/>
              </w:rPr>
              <w:t> </w:t>
            </w:r>
            <w:r>
              <w:rPr>
                <w:color w:val="FFFFFF"/>
                <w:sz w:val="40"/>
              </w:rPr>
              <w:t>(current</w:t>
            </w:r>
            <w:r>
              <w:rPr>
                <w:color w:val="FFFFFF"/>
                <w:spacing w:val="-2"/>
                <w:sz w:val="40"/>
              </w:rPr>
              <w:t> </w:t>
            </w:r>
            <w:r>
              <w:rPr>
                <w:color w:val="FFFFFF"/>
                <w:sz w:val="40"/>
              </w:rPr>
              <w:t>functionality</w:t>
            </w:r>
            <w:r>
              <w:rPr>
                <w:color w:val="FFFFFF"/>
                <w:spacing w:val="-3"/>
                <w:sz w:val="40"/>
              </w:rPr>
              <w:t> </w:t>
            </w:r>
            <w:r>
              <w:rPr>
                <w:color w:val="FFFFFF"/>
                <w:sz w:val="40"/>
              </w:rPr>
              <w:t>will</w:t>
            </w:r>
            <w:r>
              <w:rPr>
                <w:color w:val="FFFFFF"/>
                <w:spacing w:val="-1"/>
                <w:sz w:val="40"/>
              </w:rPr>
              <w:t> </w:t>
            </w:r>
            <w:r>
              <w:rPr>
                <w:color w:val="FFFFFF"/>
                <w:sz w:val="40"/>
              </w:rPr>
              <w:t>be</w:t>
            </w:r>
            <w:r>
              <w:rPr>
                <w:color w:val="FFFFFF"/>
                <w:spacing w:val="-1"/>
                <w:sz w:val="40"/>
              </w:rPr>
              <w:t> </w:t>
            </w:r>
            <w:r>
              <w:rPr>
                <w:color w:val="FFFFFF"/>
                <w:sz w:val="40"/>
              </w:rPr>
              <w:t>removed</w:t>
            </w:r>
            <w:r>
              <w:rPr>
                <w:color w:val="FFFFFF"/>
                <w:spacing w:val="-2"/>
                <w:sz w:val="40"/>
              </w:rPr>
              <w:t> </w:t>
            </w:r>
            <w:r>
              <w:rPr>
                <w:color w:val="FFFFFF"/>
                <w:sz w:val="40"/>
              </w:rPr>
              <w:t>in</w:t>
            </w:r>
            <w:r>
              <w:rPr>
                <w:color w:val="FFFFFF"/>
                <w:spacing w:val="-2"/>
                <w:sz w:val="40"/>
              </w:rPr>
              <w:t> </w:t>
            </w:r>
            <w:r>
              <w:rPr>
                <w:color w:val="FFFFFF"/>
                <w:sz w:val="40"/>
              </w:rPr>
              <w:t>September)</w:t>
            </w:r>
          </w:p>
        </w:tc>
      </w:tr>
      <w:tr>
        <w:trPr>
          <w:trHeight w:val="1614" w:hRule="atLeast"/>
        </w:trPr>
        <w:tc>
          <w:tcPr>
            <w:tcW w:w="631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518"/>
              <w:ind w:left="1202"/>
              <w:rPr>
                <w:sz w:val="48"/>
              </w:rPr>
            </w:pPr>
            <w:r>
              <w:rPr>
                <w:color w:val="FFFFFF"/>
                <w:sz w:val="48"/>
              </w:rPr>
              <w:t>Foundation</w:t>
            </w:r>
            <w:r>
              <w:rPr>
                <w:color w:val="FFFFFF"/>
                <w:spacing w:val="-9"/>
                <w:sz w:val="48"/>
              </w:rPr>
              <w:t> </w:t>
            </w:r>
            <w:r>
              <w:rPr>
                <w:color w:val="FFFFFF"/>
                <w:sz w:val="48"/>
              </w:rPr>
              <w:t>Funding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2"/>
              <w:ind w:left="0"/>
              <w:rPr>
                <w:rFonts w:ascii="Times New Roman"/>
                <w:sz w:val="49"/>
              </w:rPr>
            </w:pPr>
          </w:p>
          <w:p>
            <w:pPr>
              <w:pStyle w:val="TableParagraph"/>
              <w:rPr>
                <w:sz w:val="40"/>
              </w:rPr>
            </w:pPr>
            <w:r>
              <w:rPr>
                <w:color w:val="FFFFFF"/>
                <w:sz w:val="40"/>
              </w:rPr>
              <w:t>Funding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for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student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experience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continues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through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Student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Ideas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Fund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540" w:bottom="280" w:left="160" w:right="580"/>
        </w:sectPr>
      </w:pPr>
    </w:p>
    <w:tbl>
      <w:tblPr>
        <w:tblW w:w="0" w:type="auto"/>
        <w:jc w:val="left"/>
        <w:tblInd w:w="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2"/>
        <w:gridCol w:w="11894"/>
      </w:tblGrid>
      <w:tr>
        <w:trPr>
          <w:trHeight w:val="777" w:hRule="atLeast"/>
        </w:trPr>
        <w:tc>
          <w:tcPr>
            <w:tcW w:w="6312" w:type="dxa"/>
            <w:tcBorders>
              <w:bottom w:val="single" w:sz="36" w:space="0" w:color="FFFFFF"/>
              <w:right w:val="single" w:sz="12" w:space="0" w:color="000000"/>
            </w:tcBorders>
            <w:shd w:val="clear" w:color="auto" w:fill="E7E6E6"/>
          </w:tcPr>
          <w:p>
            <w:pPr>
              <w:pStyle w:val="TableParagraph"/>
              <w:spacing w:before="38"/>
              <w:ind w:left="1432" w:right="1412"/>
              <w:jc w:val="center"/>
              <w:rPr>
                <w:b/>
                <w:sz w:val="54"/>
              </w:rPr>
            </w:pPr>
            <w:r>
              <w:rPr>
                <w:b/>
                <w:sz w:val="54"/>
              </w:rPr>
              <w:t>Function</w:t>
            </w:r>
          </w:p>
        </w:tc>
        <w:tc>
          <w:tcPr>
            <w:tcW w:w="11894" w:type="dxa"/>
            <w:tcBorders>
              <w:left w:val="single" w:sz="12" w:space="0" w:color="000000"/>
              <w:bottom w:val="single" w:sz="36" w:space="0" w:color="FFFFFF"/>
            </w:tcBorders>
            <w:shd w:val="clear" w:color="auto" w:fill="E7E6E6"/>
          </w:tcPr>
          <w:p>
            <w:pPr>
              <w:pStyle w:val="TableParagraph"/>
              <w:spacing w:before="38"/>
              <w:ind w:left="3887" w:right="3867"/>
              <w:jc w:val="center"/>
              <w:rPr>
                <w:b/>
                <w:sz w:val="54"/>
              </w:rPr>
            </w:pPr>
            <w:r>
              <w:rPr>
                <w:b/>
                <w:sz w:val="54"/>
              </w:rPr>
              <w:t>Proposed</w:t>
            </w:r>
            <w:r>
              <w:rPr>
                <w:b/>
                <w:spacing w:val="-7"/>
                <w:sz w:val="54"/>
              </w:rPr>
              <w:t> </w:t>
            </w:r>
            <w:r>
              <w:rPr>
                <w:b/>
                <w:sz w:val="54"/>
              </w:rPr>
              <w:t>solution</w:t>
            </w:r>
          </w:p>
        </w:tc>
      </w:tr>
      <w:tr>
        <w:trPr>
          <w:trHeight w:val="1606" w:hRule="atLeast"/>
        </w:trPr>
        <w:tc>
          <w:tcPr>
            <w:tcW w:w="6312" w:type="dxa"/>
            <w:tcBorders>
              <w:top w:val="single" w:sz="36" w:space="0" w:color="FFFFFF"/>
              <w:bottom w:val="single" w:sz="12" w:space="0" w:color="000000"/>
              <w:righ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485"/>
              <w:ind w:left="1432" w:right="1411"/>
              <w:jc w:val="center"/>
              <w:rPr>
                <w:sz w:val="48"/>
              </w:rPr>
            </w:pPr>
            <w:r>
              <w:rPr>
                <w:color w:val="FFFFFF"/>
                <w:sz w:val="48"/>
              </w:rPr>
              <w:t>Volunteering</w:t>
            </w:r>
          </w:p>
        </w:tc>
        <w:tc>
          <w:tcPr>
            <w:tcW w:w="11894" w:type="dxa"/>
            <w:tcBorders>
              <w:top w:val="single" w:sz="36" w:space="0" w:color="FFFFFF"/>
              <w:left w:val="single" w:sz="12" w:space="0" w:color="000000"/>
              <w:bottom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6"/>
              <w:ind w:left="0"/>
              <w:rPr>
                <w:rFonts w:ascii="Times New Roman"/>
                <w:sz w:val="47"/>
              </w:rPr>
            </w:pPr>
          </w:p>
          <w:p>
            <w:pPr>
              <w:pStyle w:val="TableParagraph"/>
              <w:rPr>
                <w:sz w:val="40"/>
              </w:rPr>
            </w:pPr>
            <w:r>
              <w:rPr>
                <w:color w:val="FFFFFF"/>
                <w:sz w:val="40"/>
              </w:rPr>
              <w:t>Already</w:t>
            </w:r>
            <w:r>
              <w:rPr>
                <w:color w:val="FFFFFF"/>
                <w:spacing w:val="-10"/>
                <w:sz w:val="40"/>
              </w:rPr>
              <w:t> </w:t>
            </w:r>
            <w:r>
              <w:rPr>
                <w:color w:val="FFFFFF"/>
                <w:sz w:val="40"/>
              </w:rPr>
              <w:t>migrated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MyCareer</w:t>
            </w:r>
          </w:p>
        </w:tc>
      </w:tr>
      <w:tr>
        <w:trPr>
          <w:trHeight w:val="2174" w:hRule="atLeast"/>
        </w:trPr>
        <w:tc>
          <w:tcPr>
            <w:tcW w:w="63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line="237" w:lineRule="auto" w:before="500"/>
              <w:ind w:left="1740" w:right="118" w:hanging="1593"/>
              <w:rPr>
                <w:sz w:val="48"/>
              </w:rPr>
            </w:pPr>
            <w:r>
              <w:rPr>
                <w:color w:val="FFFFFF"/>
                <w:sz w:val="48"/>
              </w:rPr>
              <w:t>Higher</w:t>
            </w:r>
            <w:r>
              <w:rPr>
                <w:color w:val="FFFFFF"/>
                <w:spacing w:val="-18"/>
                <w:sz w:val="48"/>
              </w:rPr>
              <w:t> </w:t>
            </w:r>
            <w:r>
              <w:rPr>
                <w:color w:val="FFFFFF"/>
                <w:sz w:val="48"/>
              </w:rPr>
              <w:t>Education</w:t>
            </w:r>
            <w:r>
              <w:rPr>
                <w:color w:val="FFFFFF"/>
                <w:spacing w:val="-17"/>
                <w:sz w:val="48"/>
              </w:rPr>
              <w:t> </w:t>
            </w:r>
            <w:r>
              <w:rPr>
                <w:color w:val="FFFFFF"/>
                <w:sz w:val="48"/>
              </w:rPr>
              <w:t>Achievement</w:t>
            </w:r>
            <w:r>
              <w:rPr>
                <w:color w:val="FFFFFF"/>
                <w:spacing w:val="-106"/>
                <w:sz w:val="48"/>
              </w:rPr>
              <w:t> </w:t>
            </w:r>
            <w:r>
              <w:rPr>
                <w:color w:val="FFFFFF"/>
                <w:sz w:val="48"/>
              </w:rPr>
              <w:t>Record</w:t>
            </w:r>
            <w:r>
              <w:rPr>
                <w:color w:val="FFFFFF"/>
                <w:spacing w:val="-3"/>
                <w:sz w:val="48"/>
              </w:rPr>
              <w:t> </w:t>
            </w:r>
            <w:r>
              <w:rPr>
                <w:color w:val="FFFFFF"/>
                <w:sz w:val="48"/>
              </w:rPr>
              <w:t>(HEAR)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before="3"/>
              <w:ind w:left="0"/>
              <w:rPr>
                <w:rFonts w:ascii="Times New Roman"/>
                <w:sz w:val="53"/>
              </w:rPr>
            </w:pPr>
          </w:p>
          <w:p>
            <w:pPr>
              <w:pStyle w:val="TableParagraph"/>
              <w:spacing w:line="235" w:lineRule="auto"/>
              <w:rPr>
                <w:sz w:val="40"/>
              </w:rPr>
            </w:pPr>
            <w:r>
              <w:rPr>
                <w:color w:val="FFFFFF"/>
                <w:sz w:val="40"/>
              </w:rPr>
              <w:t>Work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with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LUU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consult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with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students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on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what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is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useful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take</w:t>
            </w:r>
            <w:r>
              <w:rPr>
                <w:color w:val="FFFFFF"/>
                <w:spacing w:val="-87"/>
                <w:sz w:val="40"/>
              </w:rPr>
              <w:t> </w:t>
            </w:r>
            <w:r>
              <w:rPr>
                <w:color w:val="FFFFFF"/>
                <w:sz w:val="40"/>
              </w:rPr>
              <w:t>forward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(current</w:t>
            </w:r>
            <w:r>
              <w:rPr>
                <w:color w:val="FFFFFF"/>
                <w:spacing w:val="-4"/>
                <w:sz w:val="40"/>
              </w:rPr>
              <w:t> </w:t>
            </w:r>
            <w:r>
              <w:rPr>
                <w:color w:val="FFFFFF"/>
                <w:sz w:val="40"/>
              </w:rPr>
              <w:t>functionality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will</w:t>
            </w:r>
            <w:r>
              <w:rPr>
                <w:color w:val="FFFFFF"/>
                <w:spacing w:val="-4"/>
                <w:sz w:val="40"/>
              </w:rPr>
              <w:t> </w:t>
            </w:r>
            <w:r>
              <w:rPr>
                <w:color w:val="FFFFFF"/>
                <w:sz w:val="40"/>
              </w:rPr>
              <w:t>be</w:t>
            </w:r>
            <w:r>
              <w:rPr>
                <w:color w:val="FFFFFF"/>
                <w:spacing w:val="-4"/>
                <w:sz w:val="40"/>
              </w:rPr>
              <w:t> </w:t>
            </w:r>
            <w:r>
              <w:rPr>
                <w:color w:val="FFFFFF"/>
                <w:sz w:val="40"/>
              </w:rPr>
              <w:t>removed</w:t>
            </w:r>
            <w:r>
              <w:rPr>
                <w:color w:val="FFFFFF"/>
                <w:spacing w:val="-4"/>
                <w:sz w:val="40"/>
              </w:rPr>
              <w:t> </w:t>
            </w:r>
            <w:r>
              <w:rPr>
                <w:color w:val="FFFFFF"/>
                <w:sz w:val="40"/>
              </w:rPr>
              <w:t>in</w:t>
            </w:r>
            <w:r>
              <w:rPr>
                <w:color w:val="FFFFFF"/>
                <w:spacing w:val="-5"/>
                <w:sz w:val="40"/>
              </w:rPr>
              <w:t> </w:t>
            </w:r>
            <w:r>
              <w:rPr>
                <w:color w:val="FFFFFF"/>
                <w:sz w:val="40"/>
              </w:rPr>
              <w:t>September)</w:t>
            </w:r>
          </w:p>
        </w:tc>
      </w:tr>
      <w:tr>
        <w:trPr>
          <w:trHeight w:val="1614" w:hRule="atLeast"/>
        </w:trPr>
        <w:tc>
          <w:tcPr>
            <w:tcW w:w="63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503"/>
              <w:ind w:left="1431" w:right="1412"/>
              <w:jc w:val="center"/>
              <w:rPr>
                <w:sz w:val="48"/>
              </w:rPr>
            </w:pPr>
            <w:r>
              <w:rPr>
                <w:color w:val="FFFFFF"/>
                <w:sz w:val="48"/>
              </w:rPr>
              <w:t>Timeline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line="235" w:lineRule="auto" w:before="333"/>
              <w:rPr>
                <w:sz w:val="40"/>
              </w:rPr>
            </w:pPr>
            <w:r>
              <w:rPr>
                <w:color w:val="FFFFFF"/>
                <w:sz w:val="40"/>
              </w:rPr>
              <w:t>Work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underway</w:t>
            </w:r>
            <w:r>
              <w:rPr>
                <w:color w:val="FFFFFF"/>
                <w:spacing w:val="-11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11"/>
                <w:sz w:val="40"/>
              </w:rPr>
              <w:t> </w:t>
            </w:r>
            <w:r>
              <w:rPr>
                <w:color w:val="FFFFFF"/>
                <w:sz w:val="40"/>
              </w:rPr>
              <w:t>scope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how</w:t>
            </w:r>
            <w:r>
              <w:rPr>
                <w:color w:val="FFFFFF"/>
                <w:spacing w:val="-11"/>
                <w:sz w:val="40"/>
              </w:rPr>
              <w:t> </w:t>
            </w:r>
            <w:r>
              <w:rPr>
                <w:color w:val="FFFFFF"/>
                <w:sz w:val="40"/>
              </w:rPr>
              <w:t>this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can</w:t>
            </w:r>
            <w:r>
              <w:rPr>
                <w:color w:val="FFFFFF"/>
                <w:spacing w:val="-10"/>
                <w:sz w:val="40"/>
              </w:rPr>
              <w:t> </w:t>
            </w:r>
            <w:r>
              <w:rPr>
                <w:color w:val="FFFFFF"/>
                <w:sz w:val="40"/>
              </w:rPr>
              <w:t>translate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11"/>
                <w:sz w:val="40"/>
              </w:rPr>
              <w:t> </w:t>
            </w:r>
            <w:r>
              <w:rPr>
                <w:color w:val="FFFFFF"/>
                <w:sz w:val="40"/>
              </w:rPr>
              <w:t>PebblePad</w:t>
            </w:r>
            <w:r>
              <w:rPr>
                <w:color w:val="FFFFFF"/>
                <w:spacing w:val="-10"/>
                <w:sz w:val="40"/>
              </w:rPr>
              <w:t> </w:t>
            </w:r>
            <w:r>
              <w:rPr>
                <w:color w:val="FFFFFF"/>
                <w:sz w:val="40"/>
              </w:rPr>
              <w:t>(current</w:t>
            </w:r>
            <w:r>
              <w:rPr>
                <w:color w:val="FFFFFF"/>
                <w:spacing w:val="-88"/>
                <w:sz w:val="40"/>
              </w:rPr>
              <w:t> </w:t>
            </w:r>
            <w:r>
              <w:rPr>
                <w:color w:val="FFFFFF"/>
                <w:sz w:val="40"/>
              </w:rPr>
              <w:t>functionality</w:t>
            </w:r>
            <w:r>
              <w:rPr>
                <w:color w:val="FFFFFF"/>
                <w:spacing w:val="-3"/>
                <w:sz w:val="40"/>
              </w:rPr>
              <w:t> </w:t>
            </w:r>
            <w:r>
              <w:rPr>
                <w:color w:val="FFFFFF"/>
                <w:sz w:val="40"/>
              </w:rPr>
              <w:t>removed</w:t>
            </w:r>
            <w:r>
              <w:rPr>
                <w:color w:val="FFFFFF"/>
                <w:spacing w:val="-1"/>
                <w:sz w:val="40"/>
              </w:rPr>
              <w:t> </w:t>
            </w:r>
            <w:r>
              <w:rPr>
                <w:color w:val="FFFFFF"/>
                <w:sz w:val="40"/>
              </w:rPr>
              <w:t>in</w:t>
            </w:r>
            <w:r>
              <w:rPr>
                <w:color w:val="FFFFFF"/>
                <w:spacing w:val="-1"/>
                <w:sz w:val="40"/>
              </w:rPr>
              <w:t> </w:t>
            </w:r>
            <w:r>
              <w:rPr>
                <w:color w:val="FFFFFF"/>
                <w:sz w:val="40"/>
              </w:rPr>
              <w:t>September)</w:t>
            </w:r>
          </w:p>
        </w:tc>
      </w:tr>
      <w:tr>
        <w:trPr>
          <w:trHeight w:val="1614" w:hRule="atLeast"/>
        </w:trPr>
        <w:tc>
          <w:tcPr>
            <w:tcW w:w="63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before="501"/>
              <w:ind w:left="1432" w:right="1412"/>
              <w:jc w:val="center"/>
              <w:rPr>
                <w:sz w:val="48"/>
              </w:rPr>
            </w:pPr>
            <w:r>
              <w:rPr>
                <w:color w:val="FFFFFF"/>
                <w:sz w:val="48"/>
              </w:rPr>
              <w:t>Leeds</w:t>
            </w:r>
            <w:r>
              <w:rPr>
                <w:i/>
                <w:color w:val="FFFFFF"/>
                <w:sz w:val="48"/>
              </w:rPr>
              <w:t>for</w:t>
            </w:r>
            <w:r>
              <w:rPr>
                <w:color w:val="FFFFFF"/>
                <w:sz w:val="48"/>
              </w:rPr>
              <w:t>Life</w:t>
            </w:r>
            <w:r>
              <w:rPr>
                <w:color w:val="FFFFFF"/>
                <w:spacing w:val="-9"/>
                <w:sz w:val="48"/>
              </w:rPr>
              <w:t> </w:t>
            </w:r>
            <w:r>
              <w:rPr>
                <w:color w:val="FFFFFF"/>
                <w:sz w:val="48"/>
              </w:rPr>
              <w:t>skills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ED7D31"/>
          </w:tcPr>
          <w:p>
            <w:pPr>
              <w:pStyle w:val="TableParagraph"/>
              <w:spacing w:line="235" w:lineRule="auto" w:before="335"/>
              <w:rPr>
                <w:sz w:val="40"/>
              </w:rPr>
            </w:pPr>
            <w:r>
              <w:rPr>
                <w:color w:val="FFFFFF"/>
                <w:sz w:val="40"/>
              </w:rPr>
              <w:t>Student Careers-led ‘surfacing’ of students’ transferable skills &amp;</w:t>
            </w:r>
            <w:r>
              <w:rPr>
                <w:color w:val="FFFFFF"/>
                <w:spacing w:val="1"/>
                <w:sz w:val="40"/>
              </w:rPr>
              <w:t> </w:t>
            </w:r>
            <w:r>
              <w:rPr>
                <w:color w:val="FFFFFF"/>
                <w:sz w:val="40"/>
              </w:rPr>
              <w:t>employability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skills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(current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functionality</w:t>
            </w:r>
            <w:r>
              <w:rPr>
                <w:color w:val="FFFFFF"/>
                <w:spacing w:val="-9"/>
                <w:sz w:val="40"/>
              </w:rPr>
              <w:t> </w:t>
            </w:r>
            <w:r>
              <w:rPr>
                <w:color w:val="FFFFFF"/>
                <w:sz w:val="40"/>
              </w:rPr>
              <w:t>removed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in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September)</w:t>
            </w:r>
          </w:p>
        </w:tc>
      </w:tr>
      <w:tr>
        <w:trPr>
          <w:trHeight w:val="1614" w:hRule="atLeast"/>
        </w:trPr>
        <w:tc>
          <w:tcPr>
            <w:tcW w:w="631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before="503"/>
              <w:ind w:left="1432" w:right="1412"/>
              <w:jc w:val="center"/>
              <w:rPr>
                <w:sz w:val="48"/>
              </w:rPr>
            </w:pPr>
            <w:r>
              <w:rPr>
                <w:color w:val="FFFFFF"/>
                <w:sz w:val="48"/>
              </w:rPr>
              <w:t>Case</w:t>
            </w:r>
            <w:r>
              <w:rPr>
                <w:color w:val="FFFFFF"/>
                <w:spacing w:val="-2"/>
                <w:sz w:val="48"/>
              </w:rPr>
              <w:t> </w:t>
            </w:r>
            <w:r>
              <w:rPr>
                <w:color w:val="FFFFFF"/>
                <w:sz w:val="48"/>
              </w:rPr>
              <w:t>Studies</w:t>
            </w:r>
          </w:p>
        </w:tc>
        <w:tc>
          <w:tcPr>
            <w:tcW w:w="11894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525252"/>
          </w:tcPr>
          <w:p>
            <w:pPr>
              <w:pStyle w:val="TableParagraph"/>
              <w:spacing w:line="235" w:lineRule="auto" w:before="332"/>
              <w:rPr>
                <w:sz w:val="40"/>
              </w:rPr>
            </w:pPr>
            <w:r>
              <w:rPr>
                <w:color w:val="FFFFFF"/>
                <w:sz w:val="40"/>
              </w:rPr>
              <w:t>Continue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work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with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students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to</w:t>
            </w:r>
            <w:r>
              <w:rPr>
                <w:color w:val="FFFFFF"/>
                <w:spacing w:val="-8"/>
                <w:sz w:val="40"/>
              </w:rPr>
              <w:t> </w:t>
            </w:r>
            <w:r>
              <w:rPr>
                <w:color w:val="FFFFFF"/>
                <w:sz w:val="40"/>
              </w:rPr>
              <w:t>promote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positive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stories</w:t>
            </w:r>
            <w:r>
              <w:rPr>
                <w:color w:val="FFFFFF"/>
                <w:spacing w:val="-6"/>
                <w:sz w:val="40"/>
              </w:rPr>
              <w:t> </w:t>
            </w:r>
            <w:r>
              <w:rPr>
                <w:color w:val="FFFFFF"/>
                <w:sz w:val="40"/>
              </w:rPr>
              <w:t>using</w:t>
            </w:r>
            <w:r>
              <w:rPr>
                <w:color w:val="FFFFFF"/>
                <w:spacing w:val="-7"/>
                <w:sz w:val="40"/>
              </w:rPr>
              <w:t> </w:t>
            </w:r>
            <w:r>
              <w:rPr>
                <w:color w:val="FFFFFF"/>
                <w:sz w:val="40"/>
              </w:rPr>
              <w:t>best</w:t>
            </w:r>
            <w:r>
              <w:rPr>
                <w:color w:val="FFFFFF"/>
                <w:spacing w:val="-88"/>
                <w:sz w:val="40"/>
              </w:rPr>
              <w:t> </w:t>
            </w:r>
            <w:r>
              <w:rPr>
                <w:color w:val="FFFFFF"/>
                <w:sz w:val="40"/>
              </w:rPr>
              <w:t>channels</w:t>
            </w:r>
            <w:r>
              <w:rPr>
                <w:color w:val="FFFFFF"/>
                <w:spacing w:val="-1"/>
                <w:sz w:val="40"/>
              </w:rPr>
              <w:t> </w:t>
            </w:r>
            <w:r>
              <w:rPr>
                <w:color w:val="FFFFFF"/>
                <w:sz w:val="40"/>
              </w:rPr>
              <w:t>(content</w:t>
            </w:r>
            <w:r>
              <w:rPr>
                <w:color w:val="FFFFFF"/>
                <w:spacing w:val="-1"/>
                <w:sz w:val="40"/>
              </w:rPr>
              <w:t> </w:t>
            </w:r>
            <w:r>
              <w:rPr>
                <w:color w:val="FFFFFF"/>
                <w:sz w:val="40"/>
              </w:rPr>
              <w:t>removed</w:t>
            </w:r>
            <w:r>
              <w:rPr>
                <w:color w:val="FFFFFF"/>
                <w:spacing w:val="-2"/>
                <w:sz w:val="40"/>
              </w:rPr>
              <w:t> </w:t>
            </w:r>
            <w:r>
              <w:rPr>
                <w:color w:val="FFFFFF"/>
                <w:sz w:val="40"/>
              </w:rPr>
              <w:t>in</w:t>
            </w:r>
            <w:r>
              <w:rPr>
                <w:color w:val="FFFFFF"/>
                <w:spacing w:val="-1"/>
                <w:sz w:val="40"/>
              </w:rPr>
              <w:t> </w:t>
            </w:r>
            <w:r>
              <w:rPr>
                <w:color w:val="FFFFFF"/>
                <w:sz w:val="40"/>
              </w:rPr>
              <w:t>September)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960pt;height:540pt;mso-position-horizontal-relative:page;mso-position-vertical-relative:page;z-index:-15783424" id="docshape1" filled="true" fillcolor="#000000" stroked="false">
            <v:fill type="solid"/>
            <w10:wrap type="none"/>
          </v:rect>
        </w:pict>
      </w:r>
    </w:p>
    <w:sectPr>
      <w:type w:val="continuous"/>
      <w:pgSz w:w="19200" w:h="10800" w:orient="landscape"/>
      <w:pgMar w:top="540" w:bottom="280" w:left="1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ind w:left="125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2021-06-07T13:12:24Z</dcterms:created>
  <dcterms:modified xsi:type="dcterms:W3CDTF">2021-06-07T13:12:24Z</dcterms:modified>
</cp:coreProperties>
</file>