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B4" w:rsidRDefault="00BF48B4" w:rsidP="00BF48B4">
      <w:pPr>
        <w:spacing w:before="60" w:line="240" w:lineRule="auto"/>
        <w:jc w:val="center"/>
        <w:rPr>
          <w:b/>
        </w:rPr>
      </w:pPr>
      <w:r w:rsidRPr="000E79C6">
        <w:rPr>
          <w:b/>
        </w:rPr>
        <w:t xml:space="preserve">PROGRAMME APPROVAL GROUP </w:t>
      </w:r>
      <w:r>
        <w:rPr>
          <w:b/>
        </w:rPr>
        <w:t xml:space="preserve">(PAG) </w:t>
      </w:r>
      <w:r w:rsidRPr="000E79C6">
        <w:rPr>
          <w:b/>
        </w:rPr>
        <w:t>COVERSHEET</w:t>
      </w:r>
    </w:p>
    <w:p w:rsidR="001308DC" w:rsidRDefault="001308DC" w:rsidP="00BF48B4">
      <w:pPr>
        <w:spacing w:before="60" w:line="240" w:lineRule="auto"/>
        <w:jc w:val="center"/>
        <w:rPr>
          <w:b/>
        </w:rPr>
      </w:pPr>
      <w:r>
        <w:rPr>
          <w:b/>
        </w:rPr>
        <w:t>New programmes/major programme amendments*</w:t>
      </w:r>
    </w:p>
    <w:p w:rsidR="001308DC" w:rsidRDefault="001308DC" w:rsidP="00BF48B4">
      <w:pPr>
        <w:spacing w:before="60" w:line="240" w:lineRule="auto"/>
        <w:jc w:val="center"/>
        <w:rPr>
          <w:b/>
        </w:rPr>
      </w:pPr>
      <w:r>
        <w:rPr>
          <w:b/>
        </w:rPr>
        <w:t>New modules</w:t>
      </w:r>
    </w:p>
    <w:p w:rsidR="00BF48B4" w:rsidRPr="004F0DF4" w:rsidRDefault="00BF48B4" w:rsidP="00BF48B4">
      <w:pPr>
        <w:spacing w:before="60" w:line="240" w:lineRule="auto"/>
        <w:rPr>
          <w:b/>
          <w:sz w:val="22"/>
          <w:szCs w:val="22"/>
        </w:rPr>
      </w:pPr>
      <w:r w:rsidRPr="000E79C6">
        <w:rPr>
          <w:b/>
        </w:rPr>
        <w:br/>
      </w:r>
      <w:r w:rsidRPr="004F0DF4">
        <w:rPr>
          <w:b/>
          <w:sz w:val="22"/>
          <w:szCs w:val="22"/>
        </w:rPr>
        <w:t xml:space="preserve">School of </w:t>
      </w:r>
      <w:r w:rsidRPr="004F0DF4">
        <w:rPr>
          <w:b/>
          <w:sz w:val="22"/>
          <w:szCs w:val="22"/>
          <w:highlight w:val="yellow"/>
        </w:rPr>
        <w:t>[XXX]</w:t>
      </w:r>
    </w:p>
    <w:p w:rsidR="00BF48B4" w:rsidRPr="000E79C6" w:rsidRDefault="00BF48B4" w:rsidP="00BF48B4">
      <w:pPr>
        <w:pStyle w:val="Heading1"/>
        <w:spacing w:before="60" w:line="240" w:lineRule="auto"/>
        <w:rPr>
          <w:sz w:val="22"/>
          <w:szCs w:val="22"/>
        </w:rPr>
      </w:pPr>
      <w:r w:rsidRPr="000E79C6">
        <w:rPr>
          <w:sz w:val="22"/>
          <w:szCs w:val="22"/>
          <w:highlight w:val="yellow"/>
        </w:rPr>
        <w:t>[Date]</w:t>
      </w:r>
    </w:p>
    <w:p w:rsidR="00BF48B4" w:rsidRPr="000E79C6" w:rsidRDefault="00896FBC" w:rsidP="00BF48B4">
      <w:pPr>
        <w:rPr>
          <w:i/>
          <w:sz w:val="18"/>
          <w:szCs w:val="18"/>
        </w:rPr>
      </w:pPr>
      <w:r>
        <w:rPr>
          <w:i/>
          <w:sz w:val="18"/>
          <w:szCs w:val="18"/>
        </w:rPr>
        <w:t>For major programme amendments i</w:t>
      </w:r>
      <w:r w:rsidR="00BF48B4" w:rsidRPr="000E79C6">
        <w:rPr>
          <w:i/>
          <w:sz w:val="18"/>
          <w:szCs w:val="18"/>
        </w:rPr>
        <w:t xml:space="preserve">nclude details of </w:t>
      </w:r>
      <w:r>
        <w:rPr>
          <w:i/>
          <w:sz w:val="18"/>
          <w:szCs w:val="18"/>
        </w:rPr>
        <w:t xml:space="preserve">any affected </w:t>
      </w:r>
      <w:r w:rsidR="00BF48B4" w:rsidRPr="000E79C6">
        <w:rPr>
          <w:i/>
          <w:sz w:val="18"/>
          <w:szCs w:val="18"/>
        </w:rPr>
        <w:t>variant/fallback awards.</w:t>
      </w:r>
      <w:r w:rsidR="00BF48B4" w:rsidRPr="000E79C6">
        <w:rPr>
          <w:sz w:val="18"/>
          <w:szCs w:val="18"/>
        </w:rPr>
        <w:t xml:space="preserve"> </w:t>
      </w:r>
      <w:r w:rsidR="00BF48B4" w:rsidRPr="000E79C6">
        <w:rPr>
          <w:i/>
          <w:sz w:val="18"/>
          <w:szCs w:val="18"/>
        </w:rPr>
        <w:t>Explain if the change impacts on progression/award requirements (e.g. compulsory modules, Pass for Progression) or if the change could affect any collaboration or accreditation conditions.</w:t>
      </w:r>
      <w:r w:rsidR="00A269F3">
        <w:rPr>
          <w:i/>
          <w:sz w:val="18"/>
          <w:szCs w:val="18"/>
        </w:rPr>
        <w:t xml:space="preserve"> For Joint Honours programmes you will </w:t>
      </w:r>
      <w:r w:rsidR="000240E0">
        <w:rPr>
          <w:i/>
          <w:sz w:val="18"/>
          <w:szCs w:val="18"/>
        </w:rPr>
        <w:t xml:space="preserve">also </w:t>
      </w:r>
      <w:r w:rsidR="00A269F3">
        <w:rPr>
          <w:i/>
          <w:sz w:val="18"/>
          <w:szCs w:val="18"/>
        </w:rPr>
        <w:t>need to cons</w:t>
      </w:r>
      <w:r w:rsidR="00030027">
        <w:rPr>
          <w:i/>
          <w:sz w:val="18"/>
          <w:szCs w:val="18"/>
        </w:rPr>
        <w:t>ult with the co-teaching school on the proposals</w:t>
      </w:r>
    </w:p>
    <w:tbl>
      <w:tblPr>
        <w:tblStyle w:val="TableGrid"/>
        <w:tblW w:w="14567" w:type="dxa"/>
        <w:tblLayout w:type="fixed"/>
        <w:tblLook w:val="04A0" w:firstRow="1" w:lastRow="0" w:firstColumn="1" w:lastColumn="0" w:noHBand="0" w:noVBand="1"/>
      </w:tblPr>
      <w:tblGrid>
        <w:gridCol w:w="4219"/>
        <w:gridCol w:w="2410"/>
        <w:gridCol w:w="1559"/>
        <w:gridCol w:w="6379"/>
      </w:tblGrid>
      <w:tr w:rsidR="00BF48B4" w:rsidRPr="000E79C6" w:rsidTr="00DF2017">
        <w:tc>
          <w:tcPr>
            <w:tcW w:w="4219" w:type="dxa"/>
            <w:shd w:val="clear" w:color="auto" w:fill="D9D9D9" w:themeFill="background1" w:themeFillShade="D9"/>
          </w:tcPr>
          <w:p w:rsidR="00BF48B4" w:rsidRPr="000E79C6" w:rsidRDefault="00BF48B4" w:rsidP="007E63F9">
            <w:pPr>
              <w:jc w:val="center"/>
              <w:rPr>
                <w:rFonts w:ascii="Arial" w:hAnsi="Arial" w:cs="Arial"/>
                <w:sz w:val="22"/>
                <w:szCs w:val="22"/>
              </w:rPr>
            </w:pPr>
            <w:r w:rsidRPr="000E79C6">
              <w:rPr>
                <w:rFonts w:ascii="Arial" w:hAnsi="Arial" w:cs="Arial"/>
                <w:sz w:val="22"/>
                <w:szCs w:val="22"/>
              </w:rPr>
              <w:t>Programme title</w:t>
            </w:r>
            <w:r w:rsidR="00844646">
              <w:rPr>
                <w:rFonts w:ascii="Arial" w:hAnsi="Arial" w:cs="Arial"/>
                <w:sz w:val="22"/>
                <w:szCs w:val="22"/>
              </w:rPr>
              <w:t xml:space="preserve"> and code</w:t>
            </w:r>
            <w:r w:rsidRPr="000E79C6">
              <w:rPr>
                <w:rFonts w:ascii="Arial" w:hAnsi="Arial" w:cs="Arial"/>
                <w:sz w:val="22"/>
                <w:szCs w:val="22"/>
              </w:rPr>
              <w:t>/</w:t>
            </w:r>
            <w:r w:rsidR="00DF2017">
              <w:rPr>
                <w:rFonts w:ascii="Arial" w:hAnsi="Arial" w:cs="Arial"/>
                <w:sz w:val="22"/>
                <w:szCs w:val="22"/>
              </w:rPr>
              <w:br/>
            </w:r>
            <w:r w:rsidRPr="000E79C6">
              <w:rPr>
                <w:rFonts w:ascii="Arial" w:hAnsi="Arial" w:cs="Arial"/>
                <w:sz w:val="22"/>
                <w:szCs w:val="22"/>
              </w:rPr>
              <w:t>module title and code</w:t>
            </w:r>
          </w:p>
        </w:tc>
        <w:tc>
          <w:tcPr>
            <w:tcW w:w="2410" w:type="dxa"/>
            <w:shd w:val="clear" w:color="auto" w:fill="D9D9D9" w:themeFill="background1" w:themeFillShade="D9"/>
          </w:tcPr>
          <w:p w:rsidR="00BF48B4" w:rsidRPr="000E79C6" w:rsidRDefault="00BF48B4" w:rsidP="007006B2">
            <w:pPr>
              <w:jc w:val="center"/>
              <w:rPr>
                <w:rFonts w:ascii="Arial" w:hAnsi="Arial" w:cs="Arial"/>
                <w:sz w:val="22"/>
                <w:szCs w:val="22"/>
              </w:rPr>
            </w:pPr>
            <w:r w:rsidRPr="000E79C6">
              <w:rPr>
                <w:rFonts w:ascii="Arial" w:hAnsi="Arial" w:cs="Arial"/>
                <w:sz w:val="22"/>
                <w:szCs w:val="22"/>
              </w:rPr>
              <w:t xml:space="preserve">Session implemented </w:t>
            </w:r>
            <w:r w:rsidR="00DF2017">
              <w:rPr>
                <w:rFonts w:ascii="Arial" w:hAnsi="Arial" w:cs="Arial"/>
                <w:sz w:val="22"/>
                <w:szCs w:val="22"/>
              </w:rPr>
              <w:br/>
            </w:r>
            <w:r w:rsidR="006C2C90">
              <w:rPr>
                <w:rFonts w:ascii="Arial" w:hAnsi="Arial" w:cs="Arial"/>
                <w:sz w:val="22"/>
                <w:szCs w:val="22"/>
              </w:rPr>
              <w:t>e.g. 201</w:t>
            </w:r>
            <w:r w:rsidR="007006B2">
              <w:rPr>
                <w:rFonts w:ascii="Arial" w:hAnsi="Arial" w:cs="Arial"/>
                <w:sz w:val="22"/>
                <w:szCs w:val="22"/>
              </w:rPr>
              <w:t>7</w:t>
            </w:r>
            <w:r w:rsidR="006C2C90">
              <w:rPr>
                <w:rFonts w:ascii="Arial" w:hAnsi="Arial" w:cs="Arial"/>
                <w:sz w:val="22"/>
                <w:szCs w:val="22"/>
              </w:rPr>
              <w:t>/1</w:t>
            </w:r>
            <w:r w:rsidR="007006B2">
              <w:rPr>
                <w:rFonts w:ascii="Arial" w:hAnsi="Arial" w:cs="Arial"/>
                <w:sz w:val="22"/>
                <w:szCs w:val="22"/>
              </w:rPr>
              <w:t>8</w:t>
            </w:r>
          </w:p>
        </w:tc>
        <w:tc>
          <w:tcPr>
            <w:tcW w:w="1559" w:type="dxa"/>
            <w:shd w:val="clear" w:color="auto" w:fill="D9D9D9" w:themeFill="background1" w:themeFillShade="D9"/>
          </w:tcPr>
          <w:p w:rsidR="00BF48B4" w:rsidRPr="000E79C6" w:rsidRDefault="00BF48B4" w:rsidP="007E63F9">
            <w:pPr>
              <w:jc w:val="center"/>
              <w:rPr>
                <w:rFonts w:ascii="Arial" w:hAnsi="Arial" w:cs="Arial"/>
                <w:sz w:val="22"/>
                <w:szCs w:val="22"/>
              </w:rPr>
            </w:pPr>
            <w:r w:rsidRPr="000E79C6">
              <w:rPr>
                <w:rFonts w:ascii="Arial" w:hAnsi="Arial" w:cs="Arial"/>
                <w:sz w:val="22"/>
                <w:szCs w:val="22"/>
              </w:rPr>
              <w:t>New/</w:t>
            </w:r>
            <w:r w:rsidRPr="000E79C6">
              <w:rPr>
                <w:rFonts w:ascii="Arial" w:hAnsi="Arial" w:cs="Arial"/>
                <w:sz w:val="22"/>
                <w:szCs w:val="22"/>
              </w:rPr>
              <w:br/>
              <w:t>Amended</w:t>
            </w:r>
          </w:p>
        </w:tc>
        <w:tc>
          <w:tcPr>
            <w:tcW w:w="6379" w:type="dxa"/>
            <w:shd w:val="clear" w:color="auto" w:fill="D9D9D9" w:themeFill="background1" w:themeFillShade="D9"/>
          </w:tcPr>
          <w:p w:rsidR="00DF2017" w:rsidRPr="000E79C6" w:rsidRDefault="00BF48B4" w:rsidP="00340DAD">
            <w:pPr>
              <w:rPr>
                <w:rFonts w:ascii="Arial" w:hAnsi="Arial" w:cs="Arial"/>
                <w:sz w:val="22"/>
                <w:szCs w:val="22"/>
              </w:rPr>
            </w:pPr>
            <w:r w:rsidRPr="000E79C6">
              <w:rPr>
                <w:rFonts w:ascii="Arial" w:hAnsi="Arial" w:cs="Arial"/>
                <w:sz w:val="22"/>
                <w:szCs w:val="22"/>
              </w:rPr>
              <w:t xml:space="preserve">For </w:t>
            </w:r>
            <w:r w:rsidR="00DF2017">
              <w:rPr>
                <w:rFonts w:ascii="Arial" w:hAnsi="Arial" w:cs="Arial"/>
                <w:sz w:val="22"/>
                <w:szCs w:val="22"/>
              </w:rPr>
              <w:t xml:space="preserve">major </w:t>
            </w:r>
            <w:r w:rsidRPr="000E79C6">
              <w:rPr>
                <w:rFonts w:ascii="Arial" w:hAnsi="Arial" w:cs="Arial"/>
                <w:sz w:val="22"/>
                <w:szCs w:val="22"/>
              </w:rPr>
              <w:t>programme amendmen</w:t>
            </w:r>
            <w:r w:rsidR="00340DAD">
              <w:rPr>
                <w:rFonts w:ascii="Arial" w:hAnsi="Arial" w:cs="Arial"/>
                <w:sz w:val="22"/>
                <w:szCs w:val="22"/>
              </w:rPr>
              <w:t>ts, include a brief description/</w:t>
            </w:r>
            <w:r w:rsidRPr="000E79C6">
              <w:rPr>
                <w:rFonts w:ascii="Arial" w:hAnsi="Arial" w:cs="Arial"/>
                <w:sz w:val="22"/>
                <w:szCs w:val="22"/>
              </w:rPr>
              <w:t>rationale</w:t>
            </w:r>
            <w:r w:rsidR="00340DAD">
              <w:rPr>
                <w:rFonts w:ascii="Arial" w:hAnsi="Arial" w:cs="Arial"/>
                <w:sz w:val="22"/>
                <w:szCs w:val="22"/>
              </w:rPr>
              <w:t>.  Also explain any implications for progression/award requirements</w:t>
            </w:r>
            <w:r w:rsidR="00DF2017">
              <w:rPr>
                <w:rFonts w:ascii="Arial" w:hAnsi="Arial" w:cs="Arial"/>
                <w:sz w:val="22"/>
                <w:szCs w:val="22"/>
              </w:rPr>
              <w:t>.</w:t>
            </w:r>
            <w:r w:rsidR="00340DAD">
              <w:rPr>
                <w:rFonts w:ascii="Arial" w:hAnsi="Arial" w:cs="Arial"/>
                <w:sz w:val="22"/>
                <w:szCs w:val="22"/>
              </w:rPr>
              <w:t xml:space="preserve"> </w:t>
            </w: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r w:rsidR="00BF48B4" w:rsidRPr="000E79C6" w:rsidTr="00DF2017">
        <w:tc>
          <w:tcPr>
            <w:tcW w:w="4219" w:type="dxa"/>
          </w:tcPr>
          <w:p w:rsidR="00BF48B4" w:rsidRPr="000E79C6" w:rsidRDefault="00BF48B4" w:rsidP="007E63F9">
            <w:pPr>
              <w:rPr>
                <w:rFonts w:ascii="Arial" w:hAnsi="Arial" w:cs="Arial"/>
              </w:rPr>
            </w:pPr>
          </w:p>
        </w:tc>
        <w:tc>
          <w:tcPr>
            <w:tcW w:w="2410" w:type="dxa"/>
          </w:tcPr>
          <w:p w:rsidR="00BF48B4" w:rsidRPr="000E79C6" w:rsidRDefault="00BF48B4" w:rsidP="007E63F9">
            <w:pPr>
              <w:rPr>
                <w:rFonts w:ascii="Arial" w:hAnsi="Arial" w:cs="Arial"/>
              </w:rPr>
            </w:pPr>
          </w:p>
        </w:tc>
        <w:tc>
          <w:tcPr>
            <w:tcW w:w="1559" w:type="dxa"/>
          </w:tcPr>
          <w:p w:rsidR="00BF48B4" w:rsidRPr="000E79C6" w:rsidRDefault="00BF48B4" w:rsidP="007E63F9">
            <w:pPr>
              <w:rPr>
                <w:rFonts w:ascii="Arial" w:hAnsi="Arial" w:cs="Arial"/>
              </w:rPr>
            </w:pPr>
          </w:p>
        </w:tc>
        <w:tc>
          <w:tcPr>
            <w:tcW w:w="6379" w:type="dxa"/>
          </w:tcPr>
          <w:p w:rsidR="00BF48B4" w:rsidRPr="000E79C6" w:rsidRDefault="00BF48B4" w:rsidP="007E63F9">
            <w:pPr>
              <w:rPr>
                <w:rFonts w:ascii="Arial" w:hAnsi="Arial" w:cs="Arial"/>
              </w:rPr>
            </w:pPr>
          </w:p>
        </w:tc>
      </w:tr>
    </w:tbl>
    <w:p w:rsidR="00BF48B4" w:rsidRPr="00D6487D" w:rsidRDefault="00BF48B4" w:rsidP="00D6487D">
      <w:pPr>
        <w:pStyle w:val="Heading2"/>
      </w:pPr>
      <w:r w:rsidRPr="00D6487D">
        <w:t>Recommendation from the School Taught Student Education Committee</w:t>
      </w:r>
    </w:p>
    <w:tbl>
      <w:tblPr>
        <w:tblStyle w:val="TableGrid"/>
        <w:tblW w:w="13433" w:type="dxa"/>
        <w:tblLook w:val="04A0" w:firstRow="1" w:lastRow="0" w:firstColumn="1" w:lastColumn="0" w:noHBand="0" w:noVBand="1"/>
      </w:tblPr>
      <w:tblGrid>
        <w:gridCol w:w="8897"/>
        <w:gridCol w:w="4536"/>
      </w:tblGrid>
      <w:tr w:rsidR="00BF48B4" w:rsidRPr="000E79C6" w:rsidTr="007E63F9">
        <w:tc>
          <w:tcPr>
            <w:tcW w:w="8897" w:type="dxa"/>
          </w:tcPr>
          <w:p w:rsidR="00BF48B4" w:rsidRPr="000E79C6" w:rsidRDefault="00BF48B4" w:rsidP="007E63F9">
            <w:pPr>
              <w:rPr>
                <w:rFonts w:ascii="Arial" w:hAnsi="Arial" w:cs="Arial"/>
                <w:sz w:val="22"/>
                <w:szCs w:val="22"/>
              </w:rPr>
            </w:pPr>
            <w:r w:rsidRPr="000E79C6">
              <w:rPr>
                <w:rFonts w:ascii="Arial" w:hAnsi="Arial" w:cs="Arial"/>
                <w:b/>
                <w:bCs/>
                <w:sz w:val="22"/>
                <w:szCs w:val="22"/>
              </w:rPr>
              <w:t>Date discussed at/recommended by STSEC</w:t>
            </w:r>
            <w:r w:rsidRPr="000E79C6">
              <w:rPr>
                <w:rFonts w:ascii="Arial" w:hAnsi="Arial" w:cs="Arial"/>
                <w:sz w:val="22"/>
                <w:szCs w:val="22"/>
              </w:rPr>
              <w:br/>
            </w:r>
            <w:r w:rsidRPr="000E79C6">
              <w:rPr>
                <w:rFonts w:ascii="Arial" w:hAnsi="Arial" w:cs="Arial"/>
                <w:i/>
                <w:sz w:val="22"/>
                <w:szCs w:val="22"/>
              </w:rPr>
              <w:t>For Chair’s Action, state “Chair’s Action” and insert the date when the Chair’s Action will be reported to STSEC.</w:t>
            </w:r>
          </w:p>
        </w:tc>
        <w:tc>
          <w:tcPr>
            <w:tcW w:w="4536" w:type="dxa"/>
          </w:tcPr>
          <w:p w:rsidR="00BF48B4" w:rsidRPr="000E79C6" w:rsidRDefault="00BF48B4" w:rsidP="00D6487D">
            <w:pPr>
              <w:pStyle w:val="Heading2"/>
              <w:outlineLvl w:val="1"/>
            </w:pPr>
          </w:p>
        </w:tc>
      </w:tr>
    </w:tbl>
    <w:p w:rsidR="0000296A" w:rsidRPr="0000296A" w:rsidRDefault="00BF48B4" w:rsidP="0000296A">
      <w:pPr>
        <w:rPr>
          <w:i/>
          <w:sz w:val="20"/>
          <w:szCs w:val="20"/>
        </w:rPr>
      </w:pPr>
      <w:r>
        <w:rPr>
          <w:b/>
          <w:i/>
          <w:sz w:val="18"/>
          <w:szCs w:val="18"/>
        </w:rPr>
        <w:br/>
      </w:r>
      <w:r w:rsidRPr="0000296A">
        <w:rPr>
          <w:i/>
          <w:sz w:val="20"/>
          <w:szCs w:val="20"/>
        </w:rPr>
        <w:t xml:space="preserve">* See definitions of </w:t>
      </w:r>
      <w:r w:rsidR="00D7437F" w:rsidRPr="0000296A">
        <w:rPr>
          <w:i/>
          <w:sz w:val="20"/>
          <w:szCs w:val="20"/>
        </w:rPr>
        <w:t>major/mi</w:t>
      </w:r>
      <w:r w:rsidRPr="0000296A">
        <w:rPr>
          <w:i/>
          <w:sz w:val="20"/>
          <w:szCs w:val="20"/>
        </w:rPr>
        <w:t>nor amendments overleaf</w:t>
      </w:r>
      <w:r w:rsidR="0000296A" w:rsidRPr="0000296A">
        <w:rPr>
          <w:i/>
          <w:sz w:val="20"/>
          <w:szCs w:val="20"/>
        </w:rPr>
        <w:t xml:space="preserve"> </w:t>
      </w:r>
    </w:p>
    <w:p w:rsidR="00BF48B4" w:rsidRPr="000E79C6" w:rsidRDefault="00BF48B4" w:rsidP="00BF48B4">
      <w:pPr>
        <w:rPr>
          <w:b/>
          <w:i/>
          <w:sz w:val="20"/>
          <w:szCs w:val="20"/>
        </w:rPr>
      </w:pPr>
      <w:r w:rsidRPr="000E79C6">
        <w:rPr>
          <w:b/>
          <w:i/>
          <w:sz w:val="20"/>
          <w:szCs w:val="20"/>
        </w:rPr>
        <w:lastRenderedPageBreak/>
        <w:t xml:space="preserve">Major Programme Amendments </w:t>
      </w:r>
      <w:r w:rsidRPr="000E79C6">
        <w:rPr>
          <w:i/>
          <w:sz w:val="20"/>
          <w:szCs w:val="20"/>
        </w:rPr>
        <w:t xml:space="preserve">are those that involve </w:t>
      </w:r>
      <w:r w:rsidRPr="000E79C6">
        <w:rPr>
          <w:b/>
          <w:i/>
          <w:sz w:val="20"/>
          <w:szCs w:val="20"/>
        </w:rPr>
        <w:t xml:space="preserve">changes to the structure of a programme which have the potential to impact on the programme level learning outcomes and the programme title, </w:t>
      </w:r>
      <w:r w:rsidRPr="000E79C6">
        <w:rPr>
          <w:i/>
          <w:sz w:val="20"/>
          <w:szCs w:val="20"/>
        </w:rPr>
        <w:t>i.e</w:t>
      </w:r>
      <w:r w:rsidRPr="000E79C6">
        <w:rPr>
          <w:b/>
          <w:i/>
          <w:sz w:val="20"/>
          <w:szCs w:val="20"/>
        </w:rPr>
        <w:t>:</w:t>
      </w:r>
    </w:p>
    <w:p w:rsidR="00BF48B4" w:rsidRPr="000E79C6" w:rsidRDefault="00BF48B4" w:rsidP="00BF48B4">
      <w:pPr>
        <w:numPr>
          <w:ilvl w:val="0"/>
          <w:numId w:val="11"/>
        </w:numPr>
        <w:ind w:left="426"/>
        <w:rPr>
          <w:b/>
          <w:i/>
          <w:sz w:val="20"/>
          <w:szCs w:val="20"/>
        </w:rPr>
      </w:pPr>
      <w:r w:rsidRPr="000E79C6">
        <w:rPr>
          <w:i/>
          <w:sz w:val="20"/>
          <w:szCs w:val="20"/>
        </w:rPr>
        <w:t>Any changes to the structure of the programme via the removal and/or addition of compulsory modules</w:t>
      </w:r>
      <w:r w:rsidRPr="000E79C6">
        <w:rPr>
          <w:i/>
          <w:sz w:val="20"/>
          <w:szCs w:val="20"/>
          <w:vertAlign w:val="superscript"/>
        </w:rPr>
        <w:footnoteReference w:id="1"/>
      </w:r>
      <w:r w:rsidRPr="000E79C6">
        <w:rPr>
          <w:i/>
          <w:sz w:val="20"/>
          <w:szCs w:val="20"/>
        </w:rPr>
        <w:t xml:space="preserve"> </w:t>
      </w:r>
    </w:p>
    <w:p w:rsidR="00BF48B4" w:rsidRPr="000E79C6" w:rsidRDefault="00BF48B4" w:rsidP="00BF48B4">
      <w:pPr>
        <w:numPr>
          <w:ilvl w:val="0"/>
          <w:numId w:val="11"/>
        </w:numPr>
        <w:ind w:left="426"/>
        <w:rPr>
          <w:b/>
          <w:i/>
          <w:sz w:val="20"/>
          <w:szCs w:val="20"/>
        </w:rPr>
      </w:pPr>
      <w:r w:rsidRPr="000E79C6">
        <w:rPr>
          <w:i/>
          <w:sz w:val="20"/>
          <w:szCs w:val="20"/>
        </w:rPr>
        <w:t xml:space="preserve">The withdrawal, addition or re-designation of optional modules as co-requisites or pre-requisites (where such changes impact on a substantial number of optional modules - equating to 30% or more of the credit weighting for any single year of study, for example 40 credits at undergraduate or 60 credits at postgraduate level)  </w:t>
      </w:r>
    </w:p>
    <w:p w:rsidR="00BF48B4" w:rsidRPr="000E79C6" w:rsidRDefault="00BF48B4" w:rsidP="00BF48B4">
      <w:pPr>
        <w:numPr>
          <w:ilvl w:val="0"/>
          <w:numId w:val="11"/>
        </w:numPr>
        <w:ind w:left="426"/>
        <w:rPr>
          <w:b/>
          <w:i/>
          <w:sz w:val="20"/>
          <w:szCs w:val="20"/>
        </w:rPr>
      </w:pPr>
      <w:r w:rsidRPr="000E79C6">
        <w:rPr>
          <w:i/>
          <w:sz w:val="20"/>
          <w:szCs w:val="20"/>
        </w:rPr>
        <w:t xml:space="preserve">Changes to the programme title and/or award, where this reflects changes to programme content </w:t>
      </w:r>
    </w:p>
    <w:p w:rsidR="00BF48B4" w:rsidRPr="000E79C6" w:rsidRDefault="00BF48B4" w:rsidP="00BF48B4">
      <w:pPr>
        <w:numPr>
          <w:ilvl w:val="0"/>
          <w:numId w:val="11"/>
        </w:numPr>
        <w:ind w:left="426"/>
        <w:rPr>
          <w:b/>
          <w:i/>
          <w:sz w:val="20"/>
          <w:szCs w:val="20"/>
        </w:rPr>
      </w:pPr>
      <w:r w:rsidRPr="000E79C6">
        <w:rPr>
          <w:i/>
          <w:sz w:val="20"/>
          <w:szCs w:val="20"/>
        </w:rPr>
        <w:t xml:space="preserve">Significant changes to the mode of delivery (e.g., via introduction of a Flexible and Distributed Learning mode or an alternative programme delivery location)  </w:t>
      </w:r>
    </w:p>
    <w:p w:rsidR="00BF48B4" w:rsidRPr="000E79C6" w:rsidRDefault="00BF48B4" w:rsidP="00BF48B4">
      <w:pPr>
        <w:rPr>
          <w:i/>
          <w:sz w:val="20"/>
          <w:szCs w:val="20"/>
        </w:rPr>
      </w:pPr>
      <w:r w:rsidRPr="000E79C6">
        <w:rPr>
          <w:i/>
          <w:sz w:val="20"/>
          <w:szCs w:val="20"/>
        </w:rPr>
        <w:t xml:space="preserve">In the light of any such changes careful consideration must be given to a </w:t>
      </w:r>
      <w:r w:rsidRPr="000E79C6">
        <w:rPr>
          <w:b/>
          <w:i/>
          <w:sz w:val="20"/>
          <w:szCs w:val="20"/>
        </w:rPr>
        <w:t>potential impact on the learning outcomes and the title of the programme</w:t>
      </w:r>
      <w:r w:rsidRPr="000E79C6">
        <w:rPr>
          <w:i/>
          <w:sz w:val="20"/>
          <w:szCs w:val="20"/>
        </w:rPr>
        <w:t xml:space="preserve">, and whether these should be revised in the light of the changes proposed.  All such major programme amendments will require an external review and are to be considered by the relevant Programme Approval Group.  The Programme Approval Group also has responsibility for the consideration of all new modules.  </w:t>
      </w:r>
    </w:p>
    <w:p w:rsidR="00BF48B4" w:rsidRPr="000E79C6" w:rsidRDefault="00BF48B4" w:rsidP="00BF48B4">
      <w:pPr>
        <w:rPr>
          <w:i/>
          <w:sz w:val="20"/>
          <w:szCs w:val="20"/>
        </w:rPr>
      </w:pPr>
      <w:r w:rsidRPr="000E79C6">
        <w:rPr>
          <w:i/>
          <w:sz w:val="20"/>
          <w:szCs w:val="20"/>
        </w:rPr>
        <w:t>All other programme and module changes are to be considered and approved by the relevant School Taught Student Education Committee/s</w:t>
      </w:r>
      <w:r w:rsidR="00D01CEE">
        <w:rPr>
          <w:i/>
          <w:sz w:val="20"/>
          <w:szCs w:val="20"/>
        </w:rPr>
        <w:t xml:space="preserve"> and reported to FTSEC</w:t>
      </w:r>
      <w:r w:rsidRPr="000E79C6">
        <w:rPr>
          <w:i/>
          <w:sz w:val="20"/>
          <w:szCs w:val="20"/>
        </w:rPr>
        <w:t>.  Examples include:</w:t>
      </w:r>
    </w:p>
    <w:p w:rsidR="00BF48B4" w:rsidRPr="000E79C6" w:rsidRDefault="00BF48B4" w:rsidP="00BF48B4">
      <w:pPr>
        <w:numPr>
          <w:ilvl w:val="0"/>
          <w:numId w:val="12"/>
        </w:numPr>
        <w:ind w:left="426" w:hanging="426"/>
        <w:rPr>
          <w:i/>
          <w:sz w:val="20"/>
          <w:szCs w:val="20"/>
        </w:rPr>
      </w:pPr>
      <w:r w:rsidRPr="000E79C6">
        <w:rPr>
          <w:i/>
          <w:sz w:val="20"/>
          <w:szCs w:val="20"/>
        </w:rPr>
        <w:t xml:space="preserve">Change to a programme title (when the change is for marketing purposes and does not reflect any changes to programme content, structure or learning outcomes.  In these instances the advice of the Faculty’s Marketing Manager should be sought and the title change agreed with the Dean of the relevant Faculty.)  </w:t>
      </w:r>
    </w:p>
    <w:p w:rsidR="00BF48B4" w:rsidRPr="000E79C6" w:rsidRDefault="00BF48B4" w:rsidP="00BF48B4">
      <w:pPr>
        <w:numPr>
          <w:ilvl w:val="0"/>
          <w:numId w:val="12"/>
        </w:numPr>
        <w:ind w:left="426" w:hanging="426"/>
        <w:rPr>
          <w:i/>
          <w:sz w:val="20"/>
          <w:szCs w:val="20"/>
        </w:rPr>
      </w:pPr>
      <w:r w:rsidRPr="000E79C6">
        <w:rPr>
          <w:i/>
          <w:sz w:val="20"/>
          <w:szCs w:val="20"/>
        </w:rPr>
        <w:t>Adding or removing optional modules (when these amount to less than 30% of the credit weighting for any one year)</w:t>
      </w:r>
      <w:r w:rsidR="00E600AB">
        <w:rPr>
          <w:i/>
          <w:sz w:val="20"/>
          <w:szCs w:val="20"/>
        </w:rPr>
        <w:t>.</w:t>
      </w:r>
      <w:r w:rsidRPr="000E79C6">
        <w:rPr>
          <w:i/>
          <w:sz w:val="20"/>
          <w:szCs w:val="20"/>
        </w:rPr>
        <w:t xml:space="preserve"> </w:t>
      </w:r>
    </w:p>
    <w:p w:rsidR="004A0650" w:rsidRPr="000E79C6" w:rsidRDefault="00884614" w:rsidP="00884614">
      <w:pPr>
        <w:rPr>
          <w:i/>
          <w:sz w:val="20"/>
          <w:szCs w:val="20"/>
        </w:rPr>
      </w:pPr>
      <w:r w:rsidRPr="002475E3">
        <w:rPr>
          <w:sz w:val="20"/>
          <w:szCs w:val="20"/>
        </w:rPr>
        <w:t xml:space="preserve">Read more in </w:t>
      </w:r>
      <w:hyperlink r:id="rId7" w:history="1">
        <w:r w:rsidRPr="002475E3">
          <w:rPr>
            <w:rStyle w:val="Hyperlink"/>
            <w:sz w:val="20"/>
            <w:szCs w:val="20"/>
          </w:rPr>
          <w:t>major programme amendment</w:t>
        </w:r>
      </w:hyperlink>
    </w:p>
    <w:sectPr w:rsidR="004A0650" w:rsidRPr="000E79C6" w:rsidSect="007C0847">
      <w:headerReference w:type="even" r:id="rId8"/>
      <w:headerReference w:type="default" r:id="rId9"/>
      <w:footerReference w:type="even" r:id="rId10"/>
      <w:footerReference w:type="default" r:id="rId11"/>
      <w:headerReference w:type="first" r:id="rId12"/>
      <w:footerReference w:type="first" r:id="rId13"/>
      <w:pgSz w:w="16838" w:h="11906" w:orient="landscape"/>
      <w:pgMar w:top="2123" w:right="1440" w:bottom="1440" w:left="1440" w:header="737"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0F" w:rsidRDefault="001B170F" w:rsidP="007C0847">
      <w:pPr>
        <w:spacing w:before="0" w:line="240" w:lineRule="auto"/>
      </w:pPr>
      <w:r>
        <w:separator/>
      </w:r>
    </w:p>
  </w:endnote>
  <w:endnote w:type="continuationSeparator" w:id="0">
    <w:p w:rsidR="001B170F" w:rsidRDefault="001B170F" w:rsidP="007C08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B2" w:rsidRDefault="00700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222498"/>
      <w:docPartObj>
        <w:docPartGallery w:val="Page Numbers (Bottom of Page)"/>
        <w:docPartUnique/>
      </w:docPartObj>
    </w:sdtPr>
    <w:sdtEndPr>
      <w:rPr>
        <w:noProof/>
        <w:sz w:val="22"/>
        <w:szCs w:val="22"/>
      </w:rPr>
    </w:sdtEndPr>
    <w:sdtContent>
      <w:p w:rsidR="007C0847" w:rsidRPr="008363BE" w:rsidRDefault="007C0847">
        <w:pPr>
          <w:pStyle w:val="Footer"/>
          <w:jc w:val="right"/>
          <w:rPr>
            <w:sz w:val="22"/>
            <w:szCs w:val="22"/>
          </w:rPr>
        </w:pPr>
        <w:r w:rsidRPr="008363BE">
          <w:rPr>
            <w:sz w:val="22"/>
            <w:szCs w:val="22"/>
          </w:rPr>
          <w:fldChar w:fldCharType="begin"/>
        </w:r>
        <w:r w:rsidRPr="008363BE">
          <w:rPr>
            <w:sz w:val="22"/>
            <w:szCs w:val="22"/>
          </w:rPr>
          <w:instrText xml:space="preserve"> PAGE   \* MERGEFORMAT </w:instrText>
        </w:r>
        <w:r w:rsidRPr="008363BE">
          <w:rPr>
            <w:sz w:val="22"/>
            <w:szCs w:val="22"/>
          </w:rPr>
          <w:fldChar w:fldCharType="separate"/>
        </w:r>
        <w:r w:rsidR="007006B2">
          <w:rPr>
            <w:noProof/>
            <w:sz w:val="22"/>
            <w:szCs w:val="22"/>
          </w:rPr>
          <w:t>2</w:t>
        </w:r>
        <w:r w:rsidRPr="008363BE">
          <w:rPr>
            <w:noProof/>
            <w:sz w:val="22"/>
            <w:szCs w:val="22"/>
          </w:rPr>
          <w:fldChar w:fldCharType="end"/>
        </w:r>
      </w:p>
    </w:sdtContent>
  </w:sdt>
  <w:p w:rsidR="007C0847" w:rsidRDefault="007C0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47" w:rsidRPr="008363BE" w:rsidRDefault="007C0847">
    <w:pPr>
      <w:pStyle w:val="Footer"/>
      <w:jc w:val="right"/>
      <w:rPr>
        <w:sz w:val="22"/>
        <w:szCs w:val="22"/>
      </w:rPr>
    </w:pPr>
    <w:r>
      <w:rPr>
        <w:noProof/>
        <w:lang w:eastAsia="en-GB"/>
      </w:rPr>
      <mc:AlternateContent>
        <mc:Choice Requires="wps">
          <w:drawing>
            <wp:anchor distT="0" distB="0" distL="114300" distR="114300" simplePos="0" relativeHeight="251663360" behindDoc="0" locked="0" layoutInCell="1" allowOverlap="1" wp14:anchorId="4BDCBF9F" wp14:editId="6EB00330">
              <wp:simplePos x="0" y="0"/>
              <wp:positionH relativeFrom="column">
                <wp:posOffset>-283210</wp:posOffset>
              </wp:positionH>
              <wp:positionV relativeFrom="paragraph">
                <wp:posOffset>-29210</wp:posOffset>
              </wp:positionV>
              <wp:extent cx="17145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7C0847" w:rsidRPr="008363BE" w:rsidRDefault="007C0847" w:rsidP="007C0847">
                          <w:pPr>
                            <w:rPr>
                              <w:sz w:val="22"/>
                              <w:szCs w:val="22"/>
                            </w:rPr>
                          </w:pPr>
                          <w:r w:rsidRPr="008363BE">
                            <w:rPr>
                              <w:sz w:val="22"/>
                              <w:szCs w:val="22"/>
                            </w:rPr>
                            <w:t>QAT/</w:t>
                          </w:r>
                          <w:r w:rsidR="007006B2">
                            <w:rPr>
                              <w:sz w:val="22"/>
                              <w:szCs w:val="22"/>
                            </w:rPr>
                            <w:t>June 2016</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DCBF9F" id="_x0000_t202" coordsize="21600,21600" o:spt="202" path="m,l,21600r21600,l21600,xe">
              <v:stroke joinstyle="miter"/>
              <v:path gradientshapeok="t" o:connecttype="rect"/>
            </v:shapetype>
            <v:shape id="Text Box 2" o:spid="_x0000_s1027" type="#_x0000_t202" style="position:absolute;left:0;text-align:left;margin-left:-22.3pt;margin-top:-2.3pt;width:1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" stroked="f">
              <v:textbox style="mso-fit-shape-to-text:t">
                <w:txbxContent>
                  <w:p w:rsidR="007C0847" w:rsidRPr="008363BE" w:rsidRDefault="007C0847" w:rsidP="007C0847">
                    <w:pPr>
                      <w:rPr>
                        <w:sz w:val="22"/>
                        <w:szCs w:val="22"/>
                      </w:rPr>
                    </w:pPr>
                    <w:r w:rsidRPr="008363BE">
                      <w:rPr>
                        <w:sz w:val="22"/>
                        <w:szCs w:val="22"/>
                      </w:rPr>
                      <w:t>QAT/</w:t>
                    </w:r>
                    <w:r w:rsidR="007006B2">
                      <w:rPr>
                        <w:sz w:val="22"/>
                        <w:szCs w:val="22"/>
                      </w:rPr>
                      <w:t>June 2016</w:t>
                    </w:r>
                    <w:bookmarkStart w:id="1" w:name="_GoBack"/>
                    <w:bookmarkEnd w:id="1"/>
                  </w:p>
                </w:txbxContent>
              </v:textbox>
            </v:shape>
          </w:pict>
        </mc:Fallback>
      </mc:AlternateContent>
    </w:r>
    <w:sdt>
      <w:sdtPr>
        <w:id w:val="859166495"/>
        <w:docPartObj>
          <w:docPartGallery w:val="Page Numbers (Bottom of Page)"/>
          <w:docPartUnique/>
        </w:docPartObj>
      </w:sdtPr>
      <w:sdtEndPr>
        <w:rPr>
          <w:noProof/>
          <w:sz w:val="22"/>
          <w:szCs w:val="22"/>
        </w:rPr>
      </w:sdtEndPr>
      <w:sdtContent>
        <w:r w:rsidRPr="008363BE">
          <w:rPr>
            <w:sz w:val="22"/>
            <w:szCs w:val="22"/>
          </w:rPr>
          <w:fldChar w:fldCharType="begin"/>
        </w:r>
        <w:r w:rsidRPr="008363BE">
          <w:rPr>
            <w:sz w:val="22"/>
            <w:szCs w:val="22"/>
          </w:rPr>
          <w:instrText xml:space="preserve"> PAGE   \* MERGEFORMAT </w:instrText>
        </w:r>
        <w:r w:rsidRPr="008363BE">
          <w:rPr>
            <w:sz w:val="22"/>
            <w:szCs w:val="22"/>
          </w:rPr>
          <w:fldChar w:fldCharType="separate"/>
        </w:r>
        <w:r w:rsidR="007006B2">
          <w:rPr>
            <w:noProof/>
            <w:sz w:val="22"/>
            <w:szCs w:val="22"/>
          </w:rPr>
          <w:t>1</w:t>
        </w:r>
        <w:r w:rsidRPr="008363BE">
          <w:rPr>
            <w:noProof/>
            <w:sz w:val="22"/>
            <w:szCs w:val="22"/>
          </w:rPr>
          <w:fldChar w:fldCharType="end"/>
        </w:r>
      </w:sdtContent>
    </w:sdt>
  </w:p>
  <w:p w:rsidR="007C0847" w:rsidRDefault="007C0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0F" w:rsidRDefault="001B170F" w:rsidP="007C0847">
      <w:pPr>
        <w:spacing w:before="0" w:line="240" w:lineRule="auto"/>
      </w:pPr>
      <w:r>
        <w:separator/>
      </w:r>
    </w:p>
  </w:footnote>
  <w:footnote w:type="continuationSeparator" w:id="0">
    <w:p w:rsidR="001B170F" w:rsidRDefault="001B170F" w:rsidP="007C0847">
      <w:pPr>
        <w:spacing w:before="0" w:line="240" w:lineRule="auto"/>
      </w:pPr>
      <w:r>
        <w:continuationSeparator/>
      </w:r>
    </w:p>
  </w:footnote>
  <w:footnote w:id="1">
    <w:p w:rsidR="00BF48B4" w:rsidRPr="00D6487D" w:rsidRDefault="00BF48B4" w:rsidP="00BF48B4">
      <w:pPr>
        <w:pStyle w:val="FootnoteText"/>
        <w:rPr>
          <w:rFonts w:ascii="Arial" w:hAnsi="Arial" w:cs="Arial"/>
        </w:rPr>
      </w:pPr>
      <w:r w:rsidRPr="00D6487D">
        <w:rPr>
          <w:rStyle w:val="FootnoteReference"/>
          <w:rFonts w:ascii="Arial" w:hAnsi="Arial" w:cs="Arial"/>
        </w:rPr>
        <w:footnoteRef/>
      </w:r>
      <w:r w:rsidRPr="00D6487D">
        <w:rPr>
          <w:rFonts w:ascii="Arial" w:hAnsi="Arial" w:cs="Arial"/>
        </w:rPr>
        <w:t xml:space="preserve"> Replacement compulsory modules, where these do not impact on programme level </w:t>
      </w:r>
      <w:r w:rsidR="0000296A">
        <w:rPr>
          <w:rFonts w:ascii="Arial" w:hAnsi="Arial" w:cs="Arial"/>
        </w:rPr>
        <w:t>l</w:t>
      </w:r>
      <w:r w:rsidRPr="00D6487D">
        <w:rPr>
          <w:rFonts w:ascii="Arial" w:hAnsi="Arial" w:cs="Arial"/>
        </w:rPr>
        <w:t xml:space="preserve">earning </w:t>
      </w:r>
      <w:r w:rsidR="0000296A">
        <w:rPr>
          <w:rFonts w:ascii="Arial" w:hAnsi="Arial" w:cs="Arial"/>
        </w:rPr>
        <w:t>o</w:t>
      </w:r>
      <w:r w:rsidRPr="00D6487D">
        <w:rPr>
          <w:rFonts w:ascii="Arial" w:hAnsi="Arial" w:cs="Arial"/>
        </w:rPr>
        <w:t>utcomes are not included.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B2" w:rsidRDefault="00700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B2" w:rsidRDefault="00700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47" w:rsidRDefault="007C0847" w:rsidP="007C0847">
    <w:pPr>
      <w:pStyle w:val="Header"/>
    </w:pPr>
    <w:r>
      <w:rPr>
        <w:noProof/>
        <w:lang w:eastAsia="en-GB"/>
      </w:rPr>
      <w:drawing>
        <wp:anchor distT="0" distB="0" distL="114300" distR="114300" simplePos="0" relativeHeight="251660288" behindDoc="0" locked="0" layoutInCell="1" allowOverlap="1" wp14:anchorId="19FBCE84" wp14:editId="6C2E5446">
          <wp:simplePos x="0" y="0"/>
          <wp:positionH relativeFrom="column">
            <wp:posOffset>6734175</wp:posOffset>
          </wp:positionH>
          <wp:positionV relativeFrom="paragraph">
            <wp:posOffset>-271145</wp:posOffset>
          </wp:positionV>
          <wp:extent cx="2388870" cy="850265"/>
          <wp:effectExtent l="0" t="0" r="0" b="6985"/>
          <wp:wrapNone/>
          <wp:docPr id="5" name="Picture 5"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14:anchorId="4863F5B8" wp14:editId="3DD66A16">
              <wp:simplePos x="0" y="0"/>
              <wp:positionH relativeFrom="page">
                <wp:posOffset>638175</wp:posOffset>
              </wp:positionH>
              <wp:positionV relativeFrom="page">
                <wp:posOffset>1247775</wp:posOffset>
              </wp:positionV>
              <wp:extent cx="93345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06FBE"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98.25pt" to="785.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x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">
              <w10:wrap anchorx="page" anchory="page"/>
              <w10:anchorlock/>
            </v:line>
          </w:pict>
        </mc:Fallback>
      </mc:AlternateContent>
    </w:r>
    <w:r>
      <w:rPr>
        <w:noProof/>
        <w:lang w:eastAsia="en-GB"/>
      </w:rPr>
      <mc:AlternateContent>
        <mc:Choice Requires="wps">
          <w:drawing>
            <wp:anchor distT="0" distB="0" distL="114300" distR="114300" simplePos="0" relativeHeight="251659264" behindDoc="0" locked="1" layoutInCell="1" allowOverlap="1" wp14:anchorId="65B0AA74" wp14:editId="45880386">
              <wp:simplePos x="0" y="0"/>
              <wp:positionH relativeFrom="page">
                <wp:posOffset>634365</wp:posOffset>
              </wp:positionH>
              <wp:positionV relativeFrom="page">
                <wp:posOffset>232410</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5"/>
                          </w:tblGrid>
                          <w:tr w:rsidR="007C0847" w:rsidRPr="00505931">
                            <w:trPr>
                              <w:trHeight w:val="1338"/>
                            </w:trPr>
                            <w:tc>
                              <w:tcPr>
                                <w:tcW w:w="5399" w:type="dxa"/>
                                <w:tcMar>
                                  <w:left w:w="0" w:type="dxa"/>
                                  <w:right w:w="0" w:type="dxa"/>
                                </w:tcMar>
                                <w:vAlign w:val="bottom"/>
                              </w:tcPr>
                              <w:p w:rsidR="007C0847" w:rsidRPr="00505931" w:rsidRDefault="007C0847" w:rsidP="009A5015">
                                <w:pPr>
                                  <w:pStyle w:val="LEUFPSchool"/>
                                  <w:rPr>
                                    <w:rFonts w:ascii="Arial" w:hAnsi="Arial" w:cs="Arial"/>
                                  </w:rPr>
                                </w:pPr>
                                <w:r w:rsidRPr="00505931">
                                  <w:rPr>
                                    <w:rFonts w:ascii="Arial" w:hAnsi="Arial" w:cs="Arial"/>
                                  </w:rPr>
                                  <w:t>Student Education Service</w:t>
                                </w:r>
                              </w:p>
                              <w:p w:rsidR="007C0847" w:rsidRPr="00505931" w:rsidRDefault="007C0847" w:rsidP="009A5015">
                                <w:pPr>
                                  <w:pStyle w:val="LEUFPFac"/>
                                  <w:rPr>
                                    <w:rFonts w:ascii="Arial" w:hAnsi="Arial" w:cs="Arial"/>
                                  </w:rPr>
                                </w:pPr>
                                <w:r w:rsidRPr="00505931">
                                  <w:rPr>
                                    <w:rFonts w:ascii="Arial" w:hAnsi="Arial" w:cs="Arial"/>
                                  </w:rPr>
                                  <w:t>Quality Assurance</w:t>
                                </w:r>
                              </w:p>
                            </w:tc>
                          </w:tr>
                        </w:tbl>
                        <w:p w:rsidR="007C0847" w:rsidRPr="00505931" w:rsidRDefault="007C0847" w:rsidP="007C08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0AA74" id="_x0000_t202" coordsize="21600,21600" o:spt="202" path="m,l,21600r21600,l21600,xe">
              <v:stroke joinstyle="miter"/>
              <v:path gradientshapeok="t" o:connecttype="rect"/>
            </v:shapetype>
            <v:shape id="Text Box 3" o:spid="_x0000_s1026" type="#_x0000_t202" style="position:absolute;margin-left:49.95pt;margin-top:18.3pt;width:268.8pt;height:8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5"/>
                    </w:tblGrid>
                    <w:tr w:rsidR="007C0847" w:rsidRPr="00505931">
                      <w:trPr>
                        <w:trHeight w:val="1338"/>
                      </w:trPr>
                      <w:tc>
                        <w:tcPr>
                          <w:tcW w:w="5399" w:type="dxa"/>
                          <w:tcMar>
                            <w:left w:w="0" w:type="dxa"/>
                            <w:right w:w="0" w:type="dxa"/>
                          </w:tcMar>
                          <w:vAlign w:val="bottom"/>
                        </w:tcPr>
                        <w:p w:rsidR="007C0847" w:rsidRPr="00505931" w:rsidRDefault="007C0847" w:rsidP="009A5015">
                          <w:pPr>
                            <w:pStyle w:val="LEUFPSchool"/>
                            <w:rPr>
                              <w:rFonts w:ascii="Arial" w:hAnsi="Arial" w:cs="Arial"/>
                            </w:rPr>
                          </w:pPr>
                          <w:r w:rsidRPr="00505931">
                            <w:rPr>
                              <w:rFonts w:ascii="Arial" w:hAnsi="Arial" w:cs="Arial"/>
                            </w:rPr>
                            <w:t>Student Education Service</w:t>
                          </w:r>
                        </w:p>
                        <w:p w:rsidR="007C0847" w:rsidRPr="00505931" w:rsidRDefault="007C0847" w:rsidP="009A5015">
                          <w:pPr>
                            <w:pStyle w:val="LEUFPFac"/>
                            <w:rPr>
                              <w:rFonts w:ascii="Arial" w:hAnsi="Arial" w:cs="Arial"/>
                            </w:rPr>
                          </w:pPr>
                          <w:r w:rsidRPr="00505931">
                            <w:rPr>
                              <w:rFonts w:ascii="Arial" w:hAnsi="Arial" w:cs="Arial"/>
                            </w:rPr>
                            <w:t>Quality Assurance</w:t>
                          </w:r>
                        </w:p>
                      </w:tc>
                    </w:tr>
                  </w:tbl>
                  <w:p w:rsidR="007C0847" w:rsidRPr="00505931" w:rsidRDefault="007C0847" w:rsidP="007C0847"/>
                </w:txbxContent>
              </v:textbox>
              <w10:wrap anchorx="page" anchory="page"/>
              <w10:anchorlock/>
            </v:shape>
          </w:pict>
        </mc:Fallback>
      </mc:AlternateContent>
    </w:r>
  </w:p>
  <w:p w:rsidR="007C0847" w:rsidRDefault="007C0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3669D8"/>
    <w:multiLevelType w:val="hybridMultilevel"/>
    <w:tmpl w:val="76BEB198"/>
    <w:lvl w:ilvl="0" w:tplc="C0CCFB64">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463C3B"/>
    <w:multiLevelType w:val="hybridMultilevel"/>
    <w:tmpl w:val="D0F0447A"/>
    <w:lvl w:ilvl="0" w:tplc="C0CCFB64">
      <w:start w:val="1"/>
      <w:numFmt w:val="decimal"/>
      <w:lvlText w:val="%1."/>
      <w:lvlJc w:val="left"/>
      <w:pPr>
        <w:ind w:left="750" w:hanging="360"/>
      </w:pPr>
      <w:rPr>
        <w:b w:val="0"/>
        <w:i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47"/>
    <w:rsid w:val="00001030"/>
    <w:rsid w:val="0000296A"/>
    <w:rsid w:val="000240E0"/>
    <w:rsid w:val="00030027"/>
    <w:rsid w:val="000A395C"/>
    <w:rsid w:val="001308DC"/>
    <w:rsid w:val="001B170F"/>
    <w:rsid w:val="001C2F45"/>
    <w:rsid w:val="00273123"/>
    <w:rsid w:val="002A237B"/>
    <w:rsid w:val="00330467"/>
    <w:rsid w:val="003400F1"/>
    <w:rsid w:val="00340DAD"/>
    <w:rsid w:val="00416AA0"/>
    <w:rsid w:val="00420055"/>
    <w:rsid w:val="004A0650"/>
    <w:rsid w:val="004F0DF4"/>
    <w:rsid w:val="0056264E"/>
    <w:rsid w:val="005B0D14"/>
    <w:rsid w:val="005B13C6"/>
    <w:rsid w:val="005C161B"/>
    <w:rsid w:val="006422C8"/>
    <w:rsid w:val="006B2780"/>
    <w:rsid w:val="006C2C90"/>
    <w:rsid w:val="006F163E"/>
    <w:rsid w:val="007006B2"/>
    <w:rsid w:val="007B157F"/>
    <w:rsid w:val="007C0847"/>
    <w:rsid w:val="008363BE"/>
    <w:rsid w:val="00844646"/>
    <w:rsid w:val="00873D7B"/>
    <w:rsid w:val="00880119"/>
    <w:rsid w:val="00884614"/>
    <w:rsid w:val="00890E90"/>
    <w:rsid w:val="00896FBC"/>
    <w:rsid w:val="0091059B"/>
    <w:rsid w:val="00930117"/>
    <w:rsid w:val="00A269F3"/>
    <w:rsid w:val="00A36CF5"/>
    <w:rsid w:val="00AD1B4C"/>
    <w:rsid w:val="00AD3173"/>
    <w:rsid w:val="00B23E4E"/>
    <w:rsid w:val="00B3772F"/>
    <w:rsid w:val="00B73992"/>
    <w:rsid w:val="00B7564E"/>
    <w:rsid w:val="00BF48B4"/>
    <w:rsid w:val="00BF7C01"/>
    <w:rsid w:val="00C43089"/>
    <w:rsid w:val="00CA19CD"/>
    <w:rsid w:val="00D00D33"/>
    <w:rsid w:val="00D01CEE"/>
    <w:rsid w:val="00D6487D"/>
    <w:rsid w:val="00D7437F"/>
    <w:rsid w:val="00DF2017"/>
    <w:rsid w:val="00E057DF"/>
    <w:rsid w:val="00E209F2"/>
    <w:rsid w:val="00E600AB"/>
    <w:rsid w:val="00EB66B1"/>
    <w:rsid w:val="00F367F1"/>
    <w:rsid w:val="00F419B2"/>
    <w:rsid w:val="00FC2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BB4DE-0BA4-404B-997B-89DA517F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B4"/>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D6487D"/>
    <w:pPr>
      <w:keepNext/>
      <w:keepLines/>
      <w:spacing w:before="240" w:after="120"/>
      <w:outlineLvl w:val="1"/>
    </w:pPr>
    <w:rPr>
      <w:rFonts w:eastAsiaTheme="majorEastAsia"/>
      <w:b/>
      <w:bCs/>
      <w:sz w:val="22"/>
      <w:szCs w:val="2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D6487D"/>
    <w:rPr>
      <w:rFonts w:eastAsiaTheme="majorEastAsia"/>
      <w:b/>
      <w:bCs/>
      <w:sz w:val="22"/>
      <w:szCs w:val="2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C08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0847"/>
  </w:style>
  <w:style w:type="paragraph" w:styleId="Footer">
    <w:name w:val="footer"/>
    <w:basedOn w:val="Normal"/>
    <w:link w:val="FooterChar"/>
    <w:uiPriority w:val="99"/>
    <w:unhideWhenUsed/>
    <w:rsid w:val="007C08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0847"/>
  </w:style>
  <w:style w:type="paragraph" w:customStyle="1" w:styleId="LEUFPFac">
    <w:name w:val="LEU_FP_Fac"/>
    <w:rsid w:val="007C0847"/>
    <w:pPr>
      <w:spacing w:before="60" w:after="0" w:line="280" w:lineRule="exact"/>
    </w:pPr>
    <w:rPr>
      <w:rFonts w:eastAsia="Times New Roman" w:cs="Times New Roman"/>
      <w:caps/>
      <w:sz w:val="20"/>
      <w:szCs w:val="20"/>
    </w:rPr>
  </w:style>
  <w:style w:type="paragraph" w:customStyle="1" w:styleId="LEUFPSchool">
    <w:name w:val="LEU_FP_School"/>
    <w:next w:val="LEUFPFac"/>
    <w:rsid w:val="007C0847"/>
    <w:pPr>
      <w:spacing w:after="0" w:line="400" w:lineRule="exact"/>
    </w:pPr>
    <w:rPr>
      <w:rFonts w:eastAsia="Times New Roman" w:cs="Times New Roman"/>
      <w:b/>
      <w:sz w:val="36"/>
      <w:szCs w:val="36"/>
    </w:rPr>
  </w:style>
  <w:style w:type="table" w:styleId="TableGrid">
    <w:name w:val="Table Grid"/>
    <w:basedOn w:val="TableNormal"/>
    <w:uiPriority w:val="59"/>
    <w:rsid w:val="007C08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48B4"/>
    <w:pPr>
      <w:spacing w:before="0" w:line="240" w:lineRule="auto"/>
    </w:pPr>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BF48B4"/>
    <w:rPr>
      <w:rFonts w:asciiTheme="minorHAnsi" w:eastAsiaTheme="minorEastAsia" w:hAnsiTheme="minorHAnsi" w:cstheme="minorBidi"/>
      <w:sz w:val="20"/>
      <w:szCs w:val="20"/>
      <w:lang w:eastAsia="en-GB"/>
    </w:rPr>
  </w:style>
  <w:style w:type="character" w:styleId="FootnoteReference">
    <w:name w:val="footnote reference"/>
    <w:basedOn w:val="DefaultParagraphFont"/>
    <w:uiPriority w:val="99"/>
    <w:semiHidden/>
    <w:unhideWhenUsed/>
    <w:rsid w:val="00BF48B4"/>
    <w:rPr>
      <w:vertAlign w:val="superscript"/>
    </w:rPr>
  </w:style>
  <w:style w:type="paragraph" w:styleId="ListParagraph">
    <w:name w:val="List Paragraph"/>
    <w:basedOn w:val="Normal"/>
    <w:uiPriority w:val="34"/>
    <w:qFormat/>
    <w:rsid w:val="00BF48B4"/>
    <w:pPr>
      <w:ind w:left="720"/>
      <w:contextualSpacing/>
    </w:pPr>
  </w:style>
  <w:style w:type="character" w:styleId="Hyperlink">
    <w:name w:val="Hyperlink"/>
    <w:basedOn w:val="DefaultParagraphFont"/>
    <w:uiPriority w:val="99"/>
    <w:unhideWhenUsed/>
    <w:rsid w:val="00884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leeds.ac.uk/info/22149/a-z_of_policies_and_key_documents/975/major_programme_amend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7</cp:revision>
  <dcterms:created xsi:type="dcterms:W3CDTF">2015-08-06T08:47:00Z</dcterms:created>
  <dcterms:modified xsi:type="dcterms:W3CDTF">2016-06-21T11:54:00Z</dcterms:modified>
</cp:coreProperties>
</file>