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70" w:rsidRPr="006B1D70" w:rsidRDefault="006B1D70" w:rsidP="006B1D70">
      <w:pPr>
        <w:spacing w:before="0" w:line="240" w:lineRule="auto"/>
        <w:rPr>
          <w:b/>
        </w:rPr>
      </w:pPr>
      <w:bookmarkStart w:id="0" w:name="_GoBack"/>
      <w:bookmarkEnd w:id="0"/>
      <w:r w:rsidRPr="006B1D70">
        <w:rPr>
          <w:b/>
        </w:rPr>
        <w:t>Samples NARIC Grading Systems and Highest Bandings</w:t>
      </w:r>
    </w:p>
    <w:p w:rsidR="006B1D70" w:rsidRDefault="006B1D70" w:rsidP="006B1D70">
      <w:pPr>
        <w:spacing w:before="0" w:line="240" w:lineRule="auto"/>
      </w:pPr>
    </w:p>
    <w:p w:rsidR="006B1D70" w:rsidRPr="006B1D70" w:rsidRDefault="006B1D70" w:rsidP="006B1D70">
      <w:pPr>
        <w:spacing w:before="0" w:line="240" w:lineRule="auto"/>
        <w:rPr>
          <w:sz w:val="20"/>
          <w:szCs w:val="20"/>
        </w:rPr>
      </w:pPr>
      <w:r w:rsidRPr="006B1D70">
        <w:rPr>
          <w:sz w:val="20"/>
          <w:szCs w:val="20"/>
        </w:rPr>
        <w:t xml:space="preserve">Schools should be mindful of the various banding tables for different countries, when assessing the applications, in order to make informed judgements, </w:t>
      </w:r>
      <w:proofErr w:type="spellStart"/>
      <w:r w:rsidRPr="006B1D70">
        <w:rPr>
          <w:sz w:val="20"/>
          <w:szCs w:val="20"/>
        </w:rPr>
        <w:t>eg</w:t>
      </w:r>
      <w:proofErr w:type="spellEnd"/>
      <w:r w:rsidRPr="006B1D70">
        <w:rPr>
          <w:sz w:val="20"/>
          <w:szCs w:val="20"/>
        </w:rPr>
        <w:t xml:space="preserve">, according to NARIC India’s highest banding is 65-100% First Class/Division; USA’s highest banding is Grade A Excellent 4.0 or Grade A 90-100%; Germany’s highest banding is Grade 1 </w:t>
      </w:r>
      <w:proofErr w:type="spellStart"/>
      <w:r w:rsidRPr="006B1D70">
        <w:rPr>
          <w:sz w:val="20"/>
          <w:szCs w:val="20"/>
        </w:rPr>
        <w:t>Sehr</w:t>
      </w:r>
      <w:proofErr w:type="spellEnd"/>
      <w:r w:rsidRPr="006B1D70">
        <w:rPr>
          <w:sz w:val="20"/>
          <w:szCs w:val="20"/>
        </w:rPr>
        <w:t xml:space="preserve"> Gut (Very Good).</w:t>
      </w:r>
    </w:p>
    <w:p w:rsidR="006B1D70" w:rsidRDefault="006B1D70" w:rsidP="008D6292">
      <w:pPr>
        <w:spacing w:before="0"/>
        <w:rPr>
          <w:b/>
        </w:rPr>
      </w:pPr>
    </w:p>
    <w:p w:rsidR="008D6292" w:rsidRPr="008D6292" w:rsidRDefault="008D6292" w:rsidP="008D6292">
      <w:pPr>
        <w:spacing w:before="0"/>
        <w:rPr>
          <w:b/>
        </w:rPr>
      </w:pPr>
      <w:r w:rsidRPr="008D6292">
        <w:rPr>
          <w:b/>
        </w:rPr>
        <w:t>India</w:t>
      </w:r>
      <w:r w:rsidR="006B1D70">
        <w:rPr>
          <w:b/>
        </w:rPr>
        <w:t xml:space="preserve"> Grading System – Higher Education</w:t>
      </w:r>
    </w:p>
    <w:p w:rsidR="008D6292" w:rsidRPr="008D6292" w:rsidRDefault="008D6292" w:rsidP="008D6292">
      <w:pPr>
        <w:spacing w:before="0" w:line="300" w:lineRule="atLeast"/>
        <w:rPr>
          <w:rFonts w:ascii="Verdana" w:eastAsia="Times New Roman" w:hAnsi="Verdana" w:cs="Times New Roman"/>
          <w:sz w:val="17"/>
          <w:szCs w:val="17"/>
          <w:lang w:eastAsia="en-GB"/>
        </w:rPr>
      </w:pPr>
      <w:r w:rsidRPr="008D6292">
        <w:rPr>
          <w:rFonts w:ascii="Verdana" w:eastAsia="Times New Roman" w:hAnsi="Verdana" w:cs="Times New Roman"/>
          <w:sz w:val="17"/>
          <w:szCs w:val="17"/>
          <w:lang w:eastAsia="en-GB"/>
        </w:rPr>
        <w:t xml:space="preserve">The following system is most commonly used in the assessment of Bachelor degrees: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2176"/>
      </w:tblGrid>
      <w:tr w:rsidR="008D6292" w:rsidRPr="008D6292" w:rsidTr="008D6292">
        <w:trPr>
          <w:trHeight w:val="474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65 - 100%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First Class/Division </w:t>
            </w:r>
          </w:p>
        </w:tc>
      </w:tr>
      <w:tr w:rsidR="008D6292" w:rsidRPr="008D6292" w:rsidTr="008D6292">
        <w:trPr>
          <w:trHeight w:val="288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50 - 64%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Second Class/Division </w:t>
            </w:r>
          </w:p>
        </w:tc>
      </w:tr>
      <w:tr w:rsidR="008D6292" w:rsidRPr="008D6292" w:rsidTr="008D6292">
        <w:trPr>
          <w:trHeight w:val="288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40 - 49%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Third Class/Division </w:t>
            </w:r>
          </w:p>
        </w:tc>
      </w:tr>
    </w:tbl>
    <w:p w:rsidR="008D6292" w:rsidRDefault="008D6292" w:rsidP="006B1D70">
      <w:pPr>
        <w:spacing w:before="0" w:line="240" w:lineRule="auto"/>
        <w:rPr>
          <w:rFonts w:ascii="Verdana" w:eastAsia="Times New Roman" w:hAnsi="Verdana" w:cs="Times New Roman"/>
          <w:sz w:val="17"/>
          <w:szCs w:val="17"/>
          <w:lang w:eastAsia="en-GB"/>
        </w:rPr>
      </w:pPr>
      <w:r w:rsidRPr="008D6292">
        <w:rPr>
          <w:rFonts w:ascii="Verdana" w:eastAsia="Times New Roman" w:hAnsi="Verdana" w:cs="Times New Roman"/>
          <w:sz w:val="17"/>
          <w:szCs w:val="17"/>
          <w:lang w:eastAsia="en-GB"/>
        </w:rPr>
        <w:t>Some universities have adopted the semester system at the postgraduate level and use a marking system based on a grade point average.</w:t>
      </w:r>
    </w:p>
    <w:p w:rsidR="008D6292" w:rsidRDefault="008D6292" w:rsidP="008D6292">
      <w:pPr>
        <w:spacing w:before="0" w:line="300" w:lineRule="atLeast"/>
        <w:rPr>
          <w:rFonts w:ascii="Verdana" w:eastAsia="Times New Roman" w:hAnsi="Verdana" w:cs="Times New Roman"/>
          <w:sz w:val="17"/>
          <w:szCs w:val="17"/>
          <w:lang w:eastAsia="en-GB"/>
        </w:rPr>
      </w:pPr>
    </w:p>
    <w:p w:rsidR="006B1D70" w:rsidRPr="008D6292" w:rsidRDefault="006B1D70" w:rsidP="006B1D70">
      <w:pPr>
        <w:spacing w:before="0"/>
        <w:rPr>
          <w:b/>
        </w:rPr>
      </w:pPr>
      <w:r>
        <w:rPr>
          <w:b/>
        </w:rPr>
        <w:t xml:space="preserve">United States of America </w:t>
      </w:r>
      <w:r w:rsidRPr="008D6292">
        <w:rPr>
          <w:b/>
        </w:rPr>
        <w:t>Grading System</w:t>
      </w:r>
      <w:r>
        <w:rPr>
          <w:b/>
        </w:rPr>
        <w:t xml:space="preserve"> - Higher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068"/>
        <w:gridCol w:w="578"/>
      </w:tblGrid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A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Excellent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4.0 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B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Good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3.0 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C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Average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2.0 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D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Pass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1.0 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F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Fail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0 </w:t>
            </w:r>
          </w:p>
        </w:tc>
      </w:tr>
    </w:tbl>
    <w:p w:rsidR="008D6292" w:rsidRDefault="008D6292" w:rsidP="008D6292">
      <w:pPr>
        <w:spacing w:before="0" w:line="300" w:lineRule="atLeast"/>
        <w:rPr>
          <w:sz w:val="37"/>
          <w:szCs w:val="37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01"/>
      </w:tblGrid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90-100%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B 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80-89%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70-79% 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60-69%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50-59%</w:t>
            </w:r>
          </w:p>
        </w:tc>
      </w:tr>
      <w:tr w:rsidR="008D6292" w:rsidRPr="008D6292" w:rsidTr="008D6292"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6" w:space="0" w:color="85858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6292" w:rsidRPr="008D6292" w:rsidRDefault="008D6292" w:rsidP="008D6292">
            <w:pPr>
              <w:spacing w:before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>0-49%</w:t>
            </w:r>
          </w:p>
        </w:tc>
      </w:tr>
    </w:tbl>
    <w:p w:rsidR="008D6292" w:rsidRDefault="008D6292" w:rsidP="008D6292">
      <w:pPr>
        <w:spacing w:before="0" w:line="300" w:lineRule="atLeast"/>
        <w:rPr>
          <w:sz w:val="37"/>
          <w:szCs w:val="37"/>
        </w:rPr>
      </w:pPr>
    </w:p>
    <w:p w:rsidR="006B1D70" w:rsidRPr="008D6292" w:rsidRDefault="006B1D70" w:rsidP="006B1D70">
      <w:pPr>
        <w:spacing w:before="0"/>
        <w:rPr>
          <w:b/>
        </w:rPr>
      </w:pPr>
      <w:r>
        <w:rPr>
          <w:b/>
        </w:rPr>
        <w:t>Germany Grading System – University Grades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296"/>
        <w:gridCol w:w="2050"/>
      </w:tblGrid>
      <w:tr w:rsidR="008D6292" w:rsidRPr="008D6292" w:rsidTr="008D62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  <w:t xml:space="preserve">Grade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  <w:t xml:space="preserve">German Classification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en-GB"/>
              </w:rPr>
              <w:t xml:space="preserve">English Translation </w:t>
            </w:r>
          </w:p>
        </w:tc>
      </w:tr>
      <w:tr w:rsidR="008D6292" w:rsidRPr="008D6292" w:rsidTr="008D62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proofErr w:type="spellStart"/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>Sehr</w:t>
            </w:r>
            <w:proofErr w:type="spellEnd"/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 xml:space="preserve"> Gut</w:t>
            </w: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Very good </w:t>
            </w:r>
          </w:p>
        </w:tc>
      </w:tr>
      <w:tr w:rsidR="008D6292" w:rsidRPr="008D6292" w:rsidTr="008D62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>Gut</w:t>
            </w: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Good </w:t>
            </w:r>
          </w:p>
        </w:tc>
      </w:tr>
      <w:tr w:rsidR="008D6292" w:rsidRPr="008D6292" w:rsidTr="008D62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proofErr w:type="spellStart"/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>Befriedigend</w:t>
            </w:r>
            <w:proofErr w:type="spellEnd"/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Satisfactory </w:t>
            </w:r>
          </w:p>
        </w:tc>
      </w:tr>
      <w:tr w:rsidR="008D6292" w:rsidRPr="008D6292" w:rsidTr="008D62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proofErr w:type="spellStart"/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>Ausreichend</w:t>
            </w:r>
            <w:proofErr w:type="spellEnd"/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Adequate/pass </w:t>
            </w:r>
          </w:p>
        </w:tc>
      </w:tr>
      <w:tr w:rsidR="008D6292" w:rsidRPr="008D6292" w:rsidTr="008D62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proofErr w:type="spellStart"/>
            <w:r w:rsidRPr="008D6292">
              <w:rPr>
                <w:rFonts w:ascii="Verdana" w:eastAsia="Times New Roman" w:hAnsi="Verdana" w:cs="Times New Roman"/>
                <w:i/>
                <w:iCs/>
                <w:sz w:val="17"/>
                <w:szCs w:val="17"/>
                <w:lang w:eastAsia="en-GB"/>
              </w:rPr>
              <w:t>Mangelhaft</w:t>
            </w:r>
            <w:proofErr w:type="spellEnd"/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292" w:rsidRPr="008D6292" w:rsidRDefault="008D6292" w:rsidP="006B1D70">
            <w:pPr>
              <w:spacing w:before="0" w:line="300" w:lineRule="atLeast"/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</w:pPr>
            <w:r w:rsidRPr="008D6292">
              <w:rPr>
                <w:rFonts w:ascii="Verdana" w:eastAsia="Times New Roman" w:hAnsi="Verdana" w:cs="Times New Roman"/>
                <w:sz w:val="17"/>
                <w:szCs w:val="17"/>
                <w:lang w:eastAsia="en-GB"/>
              </w:rPr>
              <w:t xml:space="preserve">Poor </w:t>
            </w:r>
          </w:p>
        </w:tc>
      </w:tr>
    </w:tbl>
    <w:p w:rsidR="008D6292" w:rsidRDefault="008D6292" w:rsidP="006B1D70">
      <w:pPr>
        <w:spacing w:before="0" w:line="300" w:lineRule="atLeast"/>
        <w:rPr>
          <w:sz w:val="37"/>
          <w:szCs w:val="37"/>
        </w:rPr>
      </w:pPr>
    </w:p>
    <w:sectPr w:rsidR="008D6292" w:rsidSect="008D6292">
      <w:footerReference w:type="default" r:id="rId8"/>
      <w:pgSz w:w="11906" w:h="16838"/>
      <w:pgMar w:top="432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55" w:rsidRDefault="00C60F55" w:rsidP="00C60F55">
      <w:pPr>
        <w:spacing w:before="0" w:line="240" w:lineRule="auto"/>
      </w:pPr>
      <w:r>
        <w:separator/>
      </w:r>
    </w:p>
  </w:endnote>
  <w:endnote w:type="continuationSeparator" w:id="0">
    <w:p w:rsidR="00C60F55" w:rsidRDefault="00C60F55" w:rsidP="00C60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F55" w:rsidRPr="00C60F55" w:rsidRDefault="00985212">
    <w:pPr>
      <w:pStyle w:val="Footer"/>
      <w:rPr>
        <w:sz w:val="18"/>
        <w:szCs w:val="18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C60F55" w:rsidRPr="00C60F55">
      <w:rPr>
        <w:noProof/>
        <w:sz w:val="18"/>
        <w:szCs w:val="18"/>
      </w:rPr>
      <w:t>\\Centralnt2\Academic_Registry\Rdso\Shared\rdscommo\SCHOLARS\STANDARD\CIRCULAR\Sess2014\SampleNARIC.docx</w:t>
    </w:r>
    <w:r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55" w:rsidRDefault="00C60F55" w:rsidP="00C60F55">
      <w:pPr>
        <w:spacing w:before="0" w:line="240" w:lineRule="auto"/>
      </w:pPr>
      <w:r>
        <w:separator/>
      </w:r>
    </w:p>
  </w:footnote>
  <w:footnote w:type="continuationSeparator" w:id="0">
    <w:p w:rsidR="00C60F55" w:rsidRDefault="00C60F55" w:rsidP="00C60F5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92"/>
    <w:rsid w:val="0002581C"/>
    <w:rsid w:val="000702DA"/>
    <w:rsid w:val="000A395C"/>
    <w:rsid w:val="001C2F45"/>
    <w:rsid w:val="002126E8"/>
    <w:rsid w:val="00273123"/>
    <w:rsid w:val="002A237B"/>
    <w:rsid w:val="00330467"/>
    <w:rsid w:val="003400F1"/>
    <w:rsid w:val="003C68D6"/>
    <w:rsid w:val="00416AA0"/>
    <w:rsid w:val="004962A9"/>
    <w:rsid w:val="0056264E"/>
    <w:rsid w:val="005B0D14"/>
    <w:rsid w:val="006422C8"/>
    <w:rsid w:val="006B1D70"/>
    <w:rsid w:val="006F163E"/>
    <w:rsid w:val="00873D7B"/>
    <w:rsid w:val="00880119"/>
    <w:rsid w:val="00890E90"/>
    <w:rsid w:val="008D6292"/>
    <w:rsid w:val="0091059B"/>
    <w:rsid w:val="00930117"/>
    <w:rsid w:val="00985212"/>
    <w:rsid w:val="00A0087E"/>
    <w:rsid w:val="00A36CF5"/>
    <w:rsid w:val="00AD1B4C"/>
    <w:rsid w:val="00AD3173"/>
    <w:rsid w:val="00AF4296"/>
    <w:rsid w:val="00B23E4E"/>
    <w:rsid w:val="00B3772F"/>
    <w:rsid w:val="00B73992"/>
    <w:rsid w:val="00B7564E"/>
    <w:rsid w:val="00BF7C01"/>
    <w:rsid w:val="00C43089"/>
    <w:rsid w:val="00C60F55"/>
    <w:rsid w:val="00CA19CD"/>
    <w:rsid w:val="00D00D33"/>
    <w:rsid w:val="00DE44C7"/>
    <w:rsid w:val="00DF018D"/>
    <w:rsid w:val="00E057DF"/>
    <w:rsid w:val="00E061F6"/>
    <w:rsid w:val="00E209F2"/>
    <w:rsid w:val="00EB66B1"/>
    <w:rsid w:val="00F367F1"/>
    <w:rsid w:val="00F419B2"/>
    <w:rsid w:val="00FE187B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60F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F55"/>
  </w:style>
  <w:style w:type="paragraph" w:styleId="Footer">
    <w:name w:val="footer"/>
    <w:basedOn w:val="Normal"/>
    <w:link w:val="FooterChar"/>
    <w:uiPriority w:val="99"/>
    <w:semiHidden/>
    <w:unhideWhenUsed/>
    <w:rsid w:val="00C60F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60F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F55"/>
  </w:style>
  <w:style w:type="paragraph" w:styleId="Footer">
    <w:name w:val="footer"/>
    <w:basedOn w:val="Normal"/>
    <w:link w:val="FooterChar"/>
    <w:uiPriority w:val="99"/>
    <w:semiHidden/>
    <w:unhideWhenUsed/>
    <w:rsid w:val="00C60F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481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7304865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3192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009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91795994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21079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309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61766587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5239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529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41640523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8502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208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45741634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3640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7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1462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2772556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0514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32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16681106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9643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0555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46143462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4318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484">
          <w:marLeft w:val="75"/>
          <w:marRight w:val="75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1007656">
              <w:marLeft w:val="3735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CCCCCC"/>
                <w:bottom w:val="none" w:sz="0" w:space="0" w:color="auto"/>
                <w:right w:val="none" w:sz="0" w:space="0" w:color="auto"/>
              </w:divBdr>
              <w:divsChild>
                <w:div w:id="16737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stusy</dc:creator>
  <cp:lastModifiedBy>Karen Peat</cp:lastModifiedBy>
  <cp:revision>2</cp:revision>
  <dcterms:created xsi:type="dcterms:W3CDTF">2014-10-31T15:36:00Z</dcterms:created>
  <dcterms:modified xsi:type="dcterms:W3CDTF">2014-10-31T15:36:00Z</dcterms:modified>
</cp:coreProperties>
</file>