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0F7AA" w14:textId="5D045286" w:rsidR="00C65303" w:rsidRPr="00C54C55" w:rsidRDefault="00921184" w:rsidP="00C65303">
      <w:pPr>
        <w:pBdr>
          <w:bottom w:val="single" w:sz="6" w:space="1" w:color="auto"/>
        </w:pBdr>
        <w:autoSpaceDE w:val="0"/>
        <w:jc w:val="right"/>
        <w:rPr>
          <w:rFonts w:ascii="Arial-BoldMT" w:hAnsi="Arial-BoldMT" w:cs="Arial-BoldMT"/>
          <w:color w:val="00B0F0"/>
        </w:rPr>
      </w:pPr>
      <w:r w:rsidRPr="00C65303">
        <w:rPr>
          <w:rFonts w:ascii="Arial-BoldMT" w:hAnsi="Arial-BoldMT" w:cs="Arial-BoldMT"/>
          <w:bCs/>
          <w:noProof/>
          <w:color w:val="00B0F0"/>
        </w:rPr>
        <w:drawing>
          <wp:inline distT="0" distB="0" distL="0" distR="0" wp14:anchorId="1746717F" wp14:editId="204DA01E">
            <wp:extent cx="2343150" cy="666750"/>
            <wp:effectExtent l="0" t="0" r="0" b="0"/>
            <wp:docPr id="6" name="Picture 1" descr="University of Leeds logo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Leeds logo (black and whi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3150" cy="666750"/>
                    </a:xfrm>
                    <a:prstGeom prst="rect">
                      <a:avLst/>
                    </a:prstGeom>
                    <a:noFill/>
                    <a:ln>
                      <a:noFill/>
                    </a:ln>
                  </pic:spPr>
                </pic:pic>
              </a:graphicData>
            </a:graphic>
          </wp:inline>
        </w:drawing>
      </w:r>
      <w:r w:rsidR="00C65303" w:rsidRPr="00C54C55">
        <w:rPr>
          <w:rFonts w:ascii="Arial-BoldMT" w:hAnsi="Arial-BoldMT" w:cs="Arial-BoldMT"/>
          <w:bCs/>
          <w:color w:val="00B0F0"/>
        </w:rPr>
        <w:br/>
      </w:r>
    </w:p>
    <w:p w14:paraId="6E3A1603" w14:textId="77777777" w:rsidR="00C65303" w:rsidRPr="00C54C55" w:rsidRDefault="00C65303" w:rsidP="00C65303">
      <w:pPr>
        <w:autoSpaceDE w:val="0"/>
        <w:jc w:val="right"/>
        <w:rPr>
          <w:rFonts w:ascii="Arial-BoldMT" w:hAnsi="Arial-BoldMT" w:cs="Arial-BoldMT"/>
          <w:bCs/>
          <w:color w:val="00B0F0"/>
        </w:rPr>
      </w:pPr>
    </w:p>
    <w:p w14:paraId="456B6873" w14:textId="0BF31181" w:rsidR="00C65303" w:rsidRDefault="00C65303" w:rsidP="00C65303">
      <w:pPr>
        <w:pStyle w:val="Heading1"/>
        <w:keepLines/>
        <w:spacing w:line="276" w:lineRule="auto"/>
        <w:ind w:left="357" w:hanging="357"/>
        <w:rPr>
          <w:rFonts w:ascii="Calibri Light" w:eastAsia="DengXian Light" w:hAnsi="Calibri Light"/>
          <w:bCs/>
          <w:sz w:val="32"/>
          <w:szCs w:val="32"/>
          <w:u w:val="none"/>
          <w:lang w:eastAsia="en-US"/>
        </w:rPr>
      </w:pPr>
      <w:r w:rsidRPr="000F4ACB">
        <w:rPr>
          <w:rFonts w:ascii="Calibri Light" w:eastAsia="DengXian Light" w:hAnsi="Calibri Light"/>
          <w:bCs/>
          <w:sz w:val="32"/>
          <w:szCs w:val="32"/>
          <w:u w:val="none"/>
          <w:lang w:eastAsia="en-US"/>
        </w:rPr>
        <w:t>Examiner</w:t>
      </w:r>
      <w:r>
        <w:rPr>
          <w:rFonts w:ascii="Calibri Light" w:eastAsia="DengXian Light" w:hAnsi="Calibri Light"/>
          <w:bCs/>
          <w:sz w:val="32"/>
          <w:szCs w:val="32"/>
          <w:u w:val="none"/>
          <w:lang w:eastAsia="en-US"/>
        </w:rPr>
        <w:t>’</w:t>
      </w:r>
      <w:r w:rsidRPr="000F4ACB">
        <w:rPr>
          <w:rFonts w:ascii="Calibri Light" w:eastAsia="DengXian Light" w:hAnsi="Calibri Light"/>
          <w:bCs/>
          <w:sz w:val="32"/>
          <w:szCs w:val="32"/>
          <w:u w:val="none"/>
          <w:lang w:eastAsia="en-US"/>
        </w:rPr>
        <w:t xml:space="preserve">s </w:t>
      </w:r>
      <w:r>
        <w:rPr>
          <w:rFonts w:ascii="Calibri Light" w:eastAsia="DengXian Light" w:hAnsi="Calibri Light"/>
          <w:bCs/>
          <w:sz w:val="32"/>
          <w:szCs w:val="32"/>
          <w:u w:val="none"/>
          <w:lang w:eastAsia="en-US"/>
        </w:rPr>
        <w:t>Individual  Report Form – for PGRs who have resubmitted for examination</w:t>
      </w:r>
    </w:p>
    <w:p w14:paraId="24334043" w14:textId="77777777" w:rsidR="00C65303" w:rsidRPr="00C65303" w:rsidRDefault="00C65303" w:rsidP="00C65303">
      <w:pPr>
        <w:pStyle w:val="Heading2"/>
        <w:spacing w:line="259" w:lineRule="auto"/>
        <w:ind w:right="-283"/>
        <w:jc w:val="center"/>
        <w:rPr>
          <w:rFonts w:eastAsia="DengXian Light"/>
          <w:i/>
          <w:iCs/>
          <w:color w:val="auto"/>
          <w:sz w:val="24"/>
          <w:szCs w:val="24"/>
          <w:lang w:val="en-US" w:eastAsia="en-US"/>
        </w:rPr>
      </w:pPr>
      <w:r w:rsidRPr="00C65303">
        <w:rPr>
          <w:rFonts w:eastAsia="DengXian Light"/>
          <w:i/>
          <w:iCs/>
          <w:color w:val="auto"/>
          <w:sz w:val="24"/>
          <w:szCs w:val="24"/>
          <w:lang w:val="en-US" w:eastAsia="en-US"/>
        </w:rPr>
        <w:t>To be prepared before discussing the resubmission with the other Examiner(s).</w:t>
      </w:r>
    </w:p>
    <w:p w14:paraId="13620933" w14:textId="33079284" w:rsidR="00C65303" w:rsidRDefault="00C65303" w:rsidP="001E2463">
      <w:pPr>
        <w:ind w:right="-30"/>
        <w:jc w:val="both"/>
        <w:rPr>
          <w:rFonts w:ascii="Arial" w:hAnsi="Arial" w:cs="Arial"/>
          <w:sz w:val="21"/>
          <w:szCs w:val="21"/>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677"/>
        <w:gridCol w:w="993"/>
        <w:gridCol w:w="1984"/>
      </w:tblGrid>
      <w:tr w:rsidR="009A16CA" w:rsidRPr="00C65303" w14:paraId="13B6072B" w14:textId="77777777" w:rsidTr="00C65303">
        <w:tc>
          <w:tcPr>
            <w:tcW w:w="1560" w:type="dxa"/>
            <w:tcBorders>
              <w:top w:val="single" w:sz="4" w:space="0" w:color="auto"/>
              <w:left w:val="single" w:sz="4" w:space="0" w:color="auto"/>
              <w:bottom w:val="single" w:sz="4" w:space="0" w:color="auto"/>
              <w:right w:val="single" w:sz="4" w:space="0" w:color="auto"/>
            </w:tcBorders>
            <w:hideMark/>
          </w:tcPr>
          <w:p w14:paraId="0887F885" w14:textId="05A8BAD4" w:rsidR="009A16CA" w:rsidRPr="00C65303" w:rsidRDefault="009A16CA" w:rsidP="00C65303">
            <w:pPr>
              <w:spacing w:line="276" w:lineRule="auto"/>
              <w:rPr>
                <w:rFonts w:ascii="Arial" w:hAnsi="Arial" w:cs="Arial"/>
                <w:sz w:val="23"/>
                <w:szCs w:val="23"/>
              </w:rPr>
            </w:pPr>
            <w:r w:rsidRPr="00C65303">
              <w:rPr>
                <w:rFonts w:ascii="Arial" w:hAnsi="Arial" w:cs="Arial"/>
                <w:sz w:val="23"/>
                <w:szCs w:val="23"/>
              </w:rPr>
              <w:t xml:space="preserve">Name of </w:t>
            </w:r>
            <w:r w:rsidR="00C65303">
              <w:rPr>
                <w:rFonts w:ascii="Arial" w:hAnsi="Arial" w:cs="Arial"/>
                <w:sz w:val="23"/>
                <w:szCs w:val="23"/>
              </w:rPr>
              <w:t>PGR</w:t>
            </w:r>
            <w:r w:rsidRPr="00C65303">
              <w:rPr>
                <w:rFonts w:ascii="Arial" w:hAnsi="Arial" w:cs="Arial"/>
                <w:sz w:val="23"/>
                <w:szCs w:val="23"/>
              </w:rPr>
              <w:t>:</w:t>
            </w:r>
          </w:p>
        </w:tc>
        <w:tc>
          <w:tcPr>
            <w:tcW w:w="4677" w:type="dxa"/>
            <w:tcBorders>
              <w:top w:val="single" w:sz="4" w:space="0" w:color="auto"/>
              <w:left w:val="single" w:sz="4" w:space="0" w:color="auto"/>
              <w:bottom w:val="single" w:sz="4" w:space="0" w:color="auto"/>
              <w:right w:val="single" w:sz="4" w:space="0" w:color="auto"/>
            </w:tcBorders>
          </w:tcPr>
          <w:p w14:paraId="6355ABEE" w14:textId="77777777" w:rsidR="009A16CA" w:rsidRPr="00C65303" w:rsidRDefault="009A16CA" w:rsidP="00C65303">
            <w:pPr>
              <w:spacing w:line="276" w:lineRule="auto"/>
              <w:rPr>
                <w:rFonts w:ascii="Arial" w:hAnsi="Arial" w:cs="Arial"/>
                <w:sz w:val="23"/>
                <w:szCs w:val="23"/>
              </w:rPr>
            </w:pPr>
          </w:p>
          <w:p w14:paraId="68B1AA57" w14:textId="77777777" w:rsidR="009A16CA" w:rsidRPr="00C65303" w:rsidRDefault="009A16CA" w:rsidP="00C65303">
            <w:pPr>
              <w:spacing w:line="276" w:lineRule="auto"/>
              <w:rPr>
                <w:rFonts w:ascii="Arial" w:hAnsi="Arial" w:cs="Arial"/>
                <w:sz w:val="23"/>
                <w:szCs w:val="23"/>
              </w:rPr>
            </w:pPr>
          </w:p>
        </w:tc>
        <w:tc>
          <w:tcPr>
            <w:tcW w:w="993" w:type="dxa"/>
            <w:tcBorders>
              <w:top w:val="single" w:sz="4" w:space="0" w:color="auto"/>
              <w:left w:val="single" w:sz="4" w:space="0" w:color="auto"/>
              <w:bottom w:val="single" w:sz="4" w:space="0" w:color="auto"/>
              <w:right w:val="single" w:sz="4" w:space="0" w:color="auto"/>
            </w:tcBorders>
            <w:hideMark/>
          </w:tcPr>
          <w:p w14:paraId="02E0C67E" w14:textId="77777777" w:rsidR="009A16CA" w:rsidRPr="00C65303" w:rsidRDefault="009A16CA" w:rsidP="00C65303">
            <w:pPr>
              <w:spacing w:line="276" w:lineRule="auto"/>
              <w:rPr>
                <w:rFonts w:ascii="Arial" w:hAnsi="Arial" w:cs="Arial"/>
                <w:sz w:val="23"/>
                <w:szCs w:val="23"/>
              </w:rPr>
            </w:pPr>
            <w:r w:rsidRPr="00C65303">
              <w:rPr>
                <w:rFonts w:ascii="Arial" w:hAnsi="Arial" w:cs="Arial"/>
                <w:sz w:val="23"/>
                <w:szCs w:val="23"/>
              </w:rPr>
              <w:t>Degree</w:t>
            </w:r>
          </w:p>
        </w:tc>
        <w:tc>
          <w:tcPr>
            <w:tcW w:w="1984" w:type="dxa"/>
            <w:tcBorders>
              <w:top w:val="single" w:sz="4" w:space="0" w:color="auto"/>
              <w:left w:val="single" w:sz="4" w:space="0" w:color="auto"/>
              <w:bottom w:val="single" w:sz="4" w:space="0" w:color="auto"/>
              <w:right w:val="single" w:sz="4" w:space="0" w:color="auto"/>
            </w:tcBorders>
          </w:tcPr>
          <w:p w14:paraId="042B7F0F" w14:textId="77777777" w:rsidR="009A16CA" w:rsidRPr="00C65303" w:rsidRDefault="009A16CA" w:rsidP="00C65303">
            <w:pPr>
              <w:spacing w:line="276" w:lineRule="auto"/>
              <w:rPr>
                <w:rFonts w:ascii="Arial" w:hAnsi="Arial" w:cs="Arial"/>
                <w:sz w:val="23"/>
                <w:szCs w:val="23"/>
              </w:rPr>
            </w:pPr>
          </w:p>
        </w:tc>
      </w:tr>
    </w:tbl>
    <w:p w14:paraId="493DC73D" w14:textId="77777777" w:rsidR="009A16CA" w:rsidRPr="00C65303" w:rsidRDefault="009A16CA" w:rsidP="00C65303">
      <w:pPr>
        <w:spacing w:line="276" w:lineRule="auto"/>
        <w:jc w:val="both"/>
        <w:rPr>
          <w:rFonts w:ascii="Arial" w:hAnsi="Arial" w:cs="Arial"/>
          <w:sz w:val="23"/>
          <w:szCs w:val="23"/>
        </w:rPr>
      </w:pPr>
    </w:p>
    <w:p w14:paraId="62115CD1" w14:textId="25CDD89E" w:rsidR="00C31701" w:rsidRDefault="001E2463" w:rsidP="00C65303">
      <w:pPr>
        <w:spacing w:line="276" w:lineRule="auto"/>
        <w:ind w:right="-30"/>
        <w:jc w:val="both"/>
        <w:rPr>
          <w:rFonts w:ascii="Arial" w:hAnsi="Arial" w:cs="Arial"/>
          <w:b/>
          <w:sz w:val="23"/>
          <w:szCs w:val="23"/>
        </w:rPr>
      </w:pPr>
      <w:r w:rsidRPr="00C65303">
        <w:rPr>
          <w:rFonts w:ascii="Arial" w:hAnsi="Arial" w:cs="Arial"/>
          <w:sz w:val="23"/>
          <w:szCs w:val="23"/>
        </w:rPr>
        <w:t>The External and Internal Examiner(s) are asked to complete this form</w:t>
      </w:r>
      <w:r w:rsidR="00CC7247">
        <w:rPr>
          <w:rFonts w:ascii="Arial" w:hAnsi="Arial" w:cs="Arial"/>
          <w:sz w:val="23"/>
          <w:szCs w:val="23"/>
        </w:rPr>
        <w:t xml:space="preserve"> independently of each other</w:t>
      </w:r>
      <w:r w:rsidRPr="00C65303">
        <w:rPr>
          <w:rFonts w:ascii="Arial" w:hAnsi="Arial" w:cs="Arial"/>
          <w:sz w:val="23"/>
          <w:szCs w:val="23"/>
        </w:rPr>
        <w:t xml:space="preserve"> before discussing the resubmission. If a second oral examination is to be held, </w:t>
      </w:r>
      <w:r w:rsidR="00C31701" w:rsidRPr="00C65303">
        <w:rPr>
          <w:rFonts w:ascii="Arial" w:hAnsi="Arial" w:cs="Arial"/>
          <w:sz w:val="23"/>
          <w:szCs w:val="23"/>
        </w:rPr>
        <w:t xml:space="preserve">the examiners are asked to bring this completed preliminary report to the oral examination and to discuss the contents of each report before seeing the candidate.  This report may be handwritten or typed.  </w:t>
      </w:r>
      <w:r w:rsidR="00C31701" w:rsidRPr="00C65303">
        <w:rPr>
          <w:rFonts w:ascii="Arial" w:hAnsi="Arial" w:cs="Arial"/>
          <w:b/>
          <w:sz w:val="23"/>
          <w:szCs w:val="23"/>
        </w:rPr>
        <w:t>This report must be brief and must not bring forward any recommendation about the outcome of the examination.</w:t>
      </w:r>
    </w:p>
    <w:p w14:paraId="4F22A46D" w14:textId="5A15834F" w:rsidR="00C31701" w:rsidRPr="00C65303" w:rsidRDefault="00C31701" w:rsidP="00C65303">
      <w:pPr>
        <w:spacing w:line="276" w:lineRule="auto"/>
        <w:jc w:val="both"/>
        <w:rPr>
          <w:rFonts w:ascii="Arial" w:hAnsi="Arial" w:cs="Arial"/>
          <w:b/>
          <w:sz w:val="23"/>
          <w:szCs w:val="23"/>
        </w:rPr>
      </w:pPr>
    </w:p>
    <w:p w14:paraId="7F0AD604" w14:textId="6C4C0E7C" w:rsidR="00C31701" w:rsidRDefault="00C31701" w:rsidP="00C65303">
      <w:pPr>
        <w:numPr>
          <w:ilvl w:val="0"/>
          <w:numId w:val="2"/>
        </w:numPr>
        <w:tabs>
          <w:tab w:val="left" w:pos="360"/>
        </w:tabs>
        <w:suppressAutoHyphens/>
        <w:spacing w:line="276" w:lineRule="auto"/>
        <w:ind w:hanging="720"/>
        <w:jc w:val="both"/>
        <w:rPr>
          <w:rFonts w:ascii="Arial" w:hAnsi="Arial" w:cs="Arial"/>
          <w:sz w:val="23"/>
          <w:szCs w:val="23"/>
          <w:u w:val="single"/>
        </w:rPr>
      </w:pPr>
      <w:r w:rsidRPr="00C65303">
        <w:rPr>
          <w:rFonts w:ascii="Arial" w:hAnsi="Arial" w:cs="Arial"/>
          <w:iCs/>
          <w:color w:val="000000"/>
          <w:sz w:val="23"/>
          <w:szCs w:val="23"/>
          <w:u w:val="single"/>
        </w:rPr>
        <w:t>S</w:t>
      </w:r>
      <w:r w:rsidRPr="00C65303">
        <w:rPr>
          <w:rFonts w:ascii="Arial" w:hAnsi="Arial" w:cs="Arial"/>
          <w:sz w:val="23"/>
          <w:szCs w:val="23"/>
          <w:u w:val="single"/>
        </w:rPr>
        <w:t>ignificance of the work within the context of research in this area.</w:t>
      </w:r>
    </w:p>
    <w:p w14:paraId="3481A2B7" w14:textId="529B2BDD" w:rsidR="00C65303" w:rsidRDefault="00C65303" w:rsidP="00C65303">
      <w:pPr>
        <w:tabs>
          <w:tab w:val="left" w:pos="360"/>
        </w:tabs>
        <w:suppressAutoHyphens/>
        <w:spacing w:line="276" w:lineRule="auto"/>
        <w:jc w:val="both"/>
        <w:rPr>
          <w:rFonts w:ascii="Arial" w:hAnsi="Arial" w:cs="Arial"/>
          <w:sz w:val="23"/>
          <w:szCs w:val="23"/>
        </w:rPr>
      </w:pPr>
    </w:p>
    <w:p w14:paraId="269320D0" w14:textId="77777777" w:rsidR="00C65303" w:rsidRPr="00C65303" w:rsidRDefault="00C65303" w:rsidP="00C65303">
      <w:pPr>
        <w:tabs>
          <w:tab w:val="left" w:pos="360"/>
        </w:tabs>
        <w:suppressAutoHyphens/>
        <w:spacing w:line="276" w:lineRule="auto"/>
        <w:jc w:val="both"/>
        <w:rPr>
          <w:rFonts w:ascii="Arial" w:hAnsi="Arial" w:cs="Arial"/>
          <w:sz w:val="23"/>
          <w:szCs w:val="23"/>
        </w:rPr>
      </w:pPr>
    </w:p>
    <w:p w14:paraId="6536F339" w14:textId="77777777" w:rsidR="001E2463" w:rsidRPr="00C65303" w:rsidRDefault="001E2463" w:rsidP="00C65303">
      <w:pPr>
        <w:spacing w:line="276" w:lineRule="auto"/>
        <w:rPr>
          <w:sz w:val="23"/>
          <w:szCs w:val="23"/>
        </w:rPr>
      </w:pPr>
    </w:p>
    <w:p w14:paraId="081DD057" w14:textId="4949E21C" w:rsidR="001E2463" w:rsidRPr="00C65303" w:rsidRDefault="001E2463" w:rsidP="00C65303">
      <w:pPr>
        <w:numPr>
          <w:ilvl w:val="0"/>
          <w:numId w:val="2"/>
        </w:numPr>
        <w:tabs>
          <w:tab w:val="left" w:pos="360"/>
        </w:tabs>
        <w:suppressAutoHyphens/>
        <w:spacing w:line="276" w:lineRule="auto"/>
        <w:ind w:left="284" w:right="-46" w:hanging="284"/>
        <w:jc w:val="both"/>
        <w:rPr>
          <w:rFonts w:ascii="Arial" w:hAnsi="Arial" w:cs="Arial"/>
          <w:sz w:val="23"/>
          <w:szCs w:val="23"/>
          <w:u w:val="single"/>
        </w:rPr>
      </w:pPr>
      <w:r w:rsidRPr="00C65303">
        <w:rPr>
          <w:rFonts w:ascii="Arial" w:hAnsi="Arial" w:cs="Arial"/>
          <w:sz w:val="23"/>
          <w:szCs w:val="23"/>
          <w:u w:val="single"/>
        </w:rPr>
        <w:t xml:space="preserve">To </w:t>
      </w:r>
      <w:r w:rsidRPr="00C65303">
        <w:rPr>
          <w:rFonts w:ascii="Arial" w:hAnsi="Arial" w:cs="Arial"/>
          <w:iCs/>
          <w:color w:val="000000"/>
          <w:sz w:val="23"/>
          <w:szCs w:val="23"/>
          <w:u w:val="single"/>
        </w:rPr>
        <w:t>what</w:t>
      </w:r>
      <w:r w:rsidRPr="00C65303">
        <w:rPr>
          <w:rFonts w:ascii="Arial" w:hAnsi="Arial" w:cs="Arial"/>
          <w:sz w:val="23"/>
          <w:szCs w:val="23"/>
          <w:u w:val="single"/>
        </w:rPr>
        <w:t xml:space="preserve"> extent has the candidate addressed the issues specified in the notes for guidance?</w:t>
      </w:r>
    </w:p>
    <w:p w14:paraId="7ACE4C07" w14:textId="755E83D5" w:rsidR="001E2463" w:rsidRDefault="001E2463" w:rsidP="00C65303">
      <w:pPr>
        <w:suppressAutoHyphens/>
        <w:spacing w:line="276" w:lineRule="auto"/>
        <w:ind w:firstLine="360"/>
        <w:jc w:val="both"/>
        <w:rPr>
          <w:rFonts w:ascii="Arial" w:hAnsi="Arial" w:cs="Arial"/>
          <w:i/>
          <w:iCs/>
          <w:color w:val="000000"/>
          <w:sz w:val="23"/>
          <w:szCs w:val="23"/>
        </w:rPr>
      </w:pPr>
    </w:p>
    <w:p w14:paraId="45F46C07" w14:textId="4CE126E1" w:rsidR="00C65303" w:rsidRDefault="00C65303" w:rsidP="00C65303">
      <w:pPr>
        <w:suppressAutoHyphens/>
        <w:spacing w:line="276" w:lineRule="auto"/>
        <w:ind w:firstLine="360"/>
        <w:jc w:val="both"/>
        <w:rPr>
          <w:rFonts w:ascii="Arial" w:hAnsi="Arial" w:cs="Arial"/>
          <w:i/>
          <w:iCs/>
          <w:color w:val="000000"/>
          <w:sz w:val="23"/>
          <w:szCs w:val="23"/>
        </w:rPr>
      </w:pPr>
    </w:p>
    <w:p w14:paraId="31ECF0EB" w14:textId="77777777" w:rsidR="00FE34A3" w:rsidRPr="00C65303" w:rsidRDefault="00FE34A3" w:rsidP="00C65303">
      <w:pPr>
        <w:spacing w:line="276" w:lineRule="auto"/>
        <w:rPr>
          <w:sz w:val="23"/>
          <w:szCs w:val="23"/>
        </w:rPr>
      </w:pPr>
    </w:p>
    <w:p w14:paraId="69E3269C" w14:textId="448427BD" w:rsidR="001E2463" w:rsidRPr="00C65303" w:rsidRDefault="001E2463" w:rsidP="00C65303">
      <w:pPr>
        <w:numPr>
          <w:ilvl w:val="0"/>
          <w:numId w:val="2"/>
        </w:numPr>
        <w:tabs>
          <w:tab w:val="left" w:pos="360"/>
        </w:tabs>
        <w:suppressAutoHyphens/>
        <w:spacing w:line="276" w:lineRule="auto"/>
        <w:ind w:left="284" w:right="-46" w:hanging="284"/>
        <w:jc w:val="both"/>
        <w:rPr>
          <w:rFonts w:ascii="Arial" w:hAnsi="Arial" w:cs="Arial"/>
          <w:sz w:val="23"/>
          <w:szCs w:val="23"/>
          <w:u w:val="single"/>
        </w:rPr>
      </w:pPr>
      <w:r w:rsidRPr="00C65303">
        <w:rPr>
          <w:rFonts w:ascii="Arial" w:hAnsi="Arial" w:cs="Arial"/>
          <w:sz w:val="23"/>
          <w:szCs w:val="23"/>
          <w:u w:val="single"/>
        </w:rPr>
        <w:t xml:space="preserve">Is a </w:t>
      </w:r>
      <w:r w:rsidRPr="00C65303">
        <w:rPr>
          <w:rFonts w:ascii="Arial" w:hAnsi="Arial" w:cs="Arial"/>
          <w:iCs/>
          <w:color w:val="000000"/>
          <w:sz w:val="23"/>
          <w:szCs w:val="23"/>
          <w:u w:val="single"/>
        </w:rPr>
        <w:t>second</w:t>
      </w:r>
      <w:r w:rsidRPr="00C65303">
        <w:rPr>
          <w:rFonts w:ascii="Arial" w:hAnsi="Arial" w:cs="Arial"/>
          <w:sz w:val="23"/>
          <w:szCs w:val="23"/>
          <w:u w:val="single"/>
        </w:rPr>
        <w:t xml:space="preserve"> oral examination required? If yes, suggested areas for discussion with the other Examiner(s)</w:t>
      </w:r>
      <w:r w:rsidR="00906878" w:rsidRPr="00C65303">
        <w:rPr>
          <w:rFonts w:ascii="Arial" w:hAnsi="Arial" w:cs="Arial"/>
          <w:sz w:val="23"/>
          <w:szCs w:val="23"/>
          <w:u w:val="single"/>
        </w:rPr>
        <w:t xml:space="preserve"> and/or any issues for clarification</w:t>
      </w:r>
    </w:p>
    <w:p w14:paraId="4A4D1433" w14:textId="6AD25D49" w:rsidR="001E2463" w:rsidRDefault="001E2463" w:rsidP="00C65303">
      <w:pPr>
        <w:suppressAutoHyphens/>
        <w:spacing w:line="276" w:lineRule="auto"/>
        <w:ind w:firstLine="360"/>
        <w:jc w:val="both"/>
        <w:rPr>
          <w:rFonts w:ascii="Arial" w:hAnsi="Arial" w:cs="Arial"/>
          <w:i/>
          <w:color w:val="FF0000"/>
          <w:sz w:val="23"/>
          <w:szCs w:val="23"/>
        </w:rPr>
      </w:pPr>
    </w:p>
    <w:p w14:paraId="23519C34" w14:textId="77777777" w:rsidR="00C65303" w:rsidRPr="00C65303" w:rsidRDefault="00C65303" w:rsidP="00C65303">
      <w:pPr>
        <w:suppressAutoHyphens/>
        <w:spacing w:line="276" w:lineRule="auto"/>
        <w:ind w:firstLine="360"/>
        <w:jc w:val="both"/>
        <w:rPr>
          <w:rFonts w:ascii="Arial" w:hAnsi="Arial" w:cs="Arial"/>
          <w:i/>
          <w:color w:val="FF0000"/>
          <w:sz w:val="23"/>
          <w:szCs w:val="23"/>
        </w:rPr>
      </w:pPr>
    </w:p>
    <w:p w14:paraId="6B883435" w14:textId="03C397E9" w:rsidR="00E2625B" w:rsidRDefault="00E2625B" w:rsidP="00C65303">
      <w:pPr>
        <w:suppressAutoHyphens/>
        <w:spacing w:line="276" w:lineRule="auto"/>
        <w:ind w:left="360"/>
        <w:jc w:val="both"/>
        <w:rPr>
          <w:rFonts w:ascii="Arial" w:hAnsi="Arial" w:cs="Arial"/>
          <w:i/>
          <w:sz w:val="23"/>
          <w:szCs w:val="23"/>
        </w:rPr>
      </w:pPr>
    </w:p>
    <w:p w14:paraId="244DBEF0" w14:textId="77777777" w:rsidR="00C65303" w:rsidRPr="00C65303" w:rsidRDefault="00C65303" w:rsidP="00C65303">
      <w:pPr>
        <w:suppressAutoHyphens/>
        <w:spacing w:line="276" w:lineRule="auto"/>
        <w:jc w:val="both"/>
        <w:rPr>
          <w:rFonts w:ascii="Arial" w:hAnsi="Arial" w:cs="Arial"/>
          <w:i/>
          <w:sz w:val="21"/>
          <w:szCs w:val="21"/>
        </w:rPr>
      </w:pPr>
      <w:r w:rsidRPr="00C65303">
        <w:rPr>
          <w:rFonts w:ascii="Arial" w:hAnsi="Arial" w:cs="Arial"/>
          <w:i/>
          <w:sz w:val="21"/>
          <w:szCs w:val="21"/>
        </w:rPr>
        <w:t xml:space="preserve">Examiners are reminded that if, after reading the resubmitted thesis, the examiners reach a preliminary view that the candidate has not fulfilled the requirements for the award of the degree </w:t>
      </w:r>
      <w:r w:rsidRPr="00C65303">
        <w:rPr>
          <w:rFonts w:ascii="Arial" w:hAnsi="Arial" w:cs="Arial"/>
          <w:b/>
          <w:i/>
          <w:sz w:val="21"/>
          <w:szCs w:val="21"/>
        </w:rPr>
        <w:t>for which they submitted</w:t>
      </w:r>
      <w:r w:rsidRPr="00C65303">
        <w:rPr>
          <w:rFonts w:ascii="Arial" w:hAnsi="Arial" w:cs="Arial"/>
          <w:i/>
          <w:sz w:val="21"/>
          <w:szCs w:val="21"/>
        </w:rPr>
        <w:t>, it is essential that a second viva be held to ensure that the candidate is given every opportunity to defend the work.</w:t>
      </w:r>
    </w:p>
    <w:p w14:paraId="55A2D587" w14:textId="77777777" w:rsidR="00C65303" w:rsidRPr="00C65303" w:rsidRDefault="00C65303" w:rsidP="00C65303">
      <w:pPr>
        <w:suppressAutoHyphens/>
        <w:spacing w:line="276" w:lineRule="auto"/>
        <w:ind w:left="720"/>
        <w:jc w:val="both"/>
        <w:rPr>
          <w:rFonts w:ascii="Arial" w:hAnsi="Arial" w:cs="Arial"/>
          <w:i/>
          <w:sz w:val="23"/>
          <w:szCs w:val="23"/>
        </w:rPr>
      </w:pPr>
    </w:p>
    <w:p w14:paraId="62E67BCD" w14:textId="77777777" w:rsidR="00C65303" w:rsidRPr="00C65303" w:rsidRDefault="00C65303" w:rsidP="00C65303">
      <w:pPr>
        <w:suppressAutoHyphens/>
        <w:spacing w:line="276" w:lineRule="auto"/>
        <w:jc w:val="both"/>
        <w:rPr>
          <w:rFonts w:ascii="Arial" w:hAnsi="Arial" w:cs="Arial"/>
          <w:bCs/>
          <w:i/>
          <w:iCs/>
          <w:sz w:val="21"/>
          <w:szCs w:val="21"/>
        </w:rPr>
      </w:pPr>
      <w:r w:rsidRPr="00C65303">
        <w:rPr>
          <w:rFonts w:ascii="Arial" w:hAnsi="Arial" w:cs="Arial"/>
          <w:bCs/>
          <w:i/>
          <w:sz w:val="21"/>
          <w:szCs w:val="21"/>
        </w:rPr>
        <w:t xml:space="preserve">An independent chair must be appointed in cases where a second viva is required on a resubmitted thesis. If a second viva is required the internal examiner must contact Doctoral College Operations immediately so that we can arrange with the School for the appointment of a chair - Email: </w:t>
      </w:r>
      <w:hyperlink r:id="rId8" w:history="1">
        <w:r w:rsidRPr="00C65303">
          <w:rPr>
            <w:rStyle w:val="Hyperlink"/>
            <w:rFonts w:ascii="Arial" w:hAnsi="Arial" w:cs="Arial"/>
            <w:bCs/>
            <w:i/>
            <w:sz w:val="21"/>
            <w:szCs w:val="21"/>
          </w:rPr>
          <w:t>rp_examinations@adm.leeds.ac.uk</w:t>
        </w:r>
      </w:hyperlink>
    </w:p>
    <w:p w14:paraId="0B2F3B51" w14:textId="77777777" w:rsidR="00C65303" w:rsidRPr="00C65303" w:rsidRDefault="00C65303" w:rsidP="00C65303">
      <w:pPr>
        <w:suppressAutoHyphens/>
        <w:spacing w:line="276" w:lineRule="auto"/>
        <w:ind w:left="360"/>
        <w:jc w:val="both"/>
        <w:rPr>
          <w:rFonts w:ascii="Arial" w:hAnsi="Arial" w:cs="Arial"/>
          <w:i/>
          <w:sz w:val="23"/>
          <w:szCs w:val="23"/>
        </w:rPr>
      </w:pPr>
    </w:p>
    <w:p w14:paraId="03A9281C" w14:textId="2E035899" w:rsidR="001E2463" w:rsidRDefault="001E2463" w:rsidP="00C65303">
      <w:pPr>
        <w:tabs>
          <w:tab w:val="left" w:pos="9995"/>
        </w:tabs>
        <w:spacing w:line="276" w:lineRule="auto"/>
        <w:jc w:val="both"/>
        <w:rPr>
          <w:rFonts w:ascii="Arial" w:hAnsi="Arial" w:cs="Arial"/>
          <w:sz w:val="23"/>
          <w:szCs w:val="23"/>
        </w:rPr>
      </w:pPr>
      <w:r w:rsidRPr="00C65303">
        <w:rPr>
          <w:rFonts w:ascii="Arial" w:hAnsi="Arial" w:cs="Arial"/>
          <w:sz w:val="23"/>
          <w:szCs w:val="23"/>
        </w:rPr>
        <w:t xml:space="preserve">The preliminary reports of all examiners should be attached to the final, joint report of the examiners prepared after the oral examination and should be returned to </w:t>
      </w:r>
      <w:r w:rsidR="00C657EA" w:rsidRPr="00C65303">
        <w:rPr>
          <w:rFonts w:ascii="Arial" w:hAnsi="Arial" w:cs="Arial"/>
          <w:sz w:val="23"/>
          <w:szCs w:val="23"/>
        </w:rPr>
        <w:t xml:space="preserve">Doctoral College </w:t>
      </w:r>
      <w:r w:rsidR="00B152A5" w:rsidRPr="00C65303">
        <w:rPr>
          <w:rFonts w:ascii="Arial" w:hAnsi="Arial" w:cs="Arial"/>
          <w:sz w:val="23"/>
          <w:szCs w:val="23"/>
        </w:rPr>
        <w:lastRenderedPageBreak/>
        <w:t>Operations</w:t>
      </w:r>
      <w:r w:rsidRPr="00C65303">
        <w:rPr>
          <w:rFonts w:ascii="Arial" w:hAnsi="Arial" w:cs="Arial"/>
          <w:sz w:val="23"/>
          <w:szCs w:val="23"/>
        </w:rPr>
        <w:t>.  This preliminary report will be released to the candidate if requested. Candidates receiving an adverse academic decision (MPhil award on PhD, fail) will be advised that the preliminary reports are available on request.</w:t>
      </w:r>
    </w:p>
    <w:p w14:paraId="516AB053" w14:textId="77777777" w:rsidR="00C65303" w:rsidRPr="00C65303" w:rsidRDefault="00C65303" w:rsidP="00C65303">
      <w:pPr>
        <w:tabs>
          <w:tab w:val="left" w:pos="9995"/>
        </w:tabs>
        <w:spacing w:line="276" w:lineRule="auto"/>
        <w:jc w:val="both"/>
        <w:rPr>
          <w:rFonts w:ascii="Arial" w:hAnsi="Arial" w:cs="Arial"/>
          <w:color w:val="FF0000"/>
          <w:sz w:val="23"/>
          <w:szCs w:val="23"/>
        </w:rPr>
      </w:pPr>
    </w:p>
    <w:p w14:paraId="0B746050" w14:textId="77777777" w:rsidR="001E2463" w:rsidRPr="00C65303" w:rsidRDefault="001E2463" w:rsidP="00C65303">
      <w:pPr>
        <w:tabs>
          <w:tab w:val="left" w:pos="9995"/>
        </w:tabs>
        <w:spacing w:line="276" w:lineRule="auto"/>
        <w:jc w:val="both"/>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275"/>
        <w:gridCol w:w="1867"/>
      </w:tblGrid>
      <w:tr w:rsidR="001E2463" w:rsidRPr="00C65303" w14:paraId="4E69DD8A" w14:textId="77777777" w:rsidTr="00DB4AD6">
        <w:trPr>
          <w:trHeight w:val="660"/>
        </w:trPr>
        <w:tc>
          <w:tcPr>
            <w:tcW w:w="4395" w:type="dxa"/>
          </w:tcPr>
          <w:p w14:paraId="0A9FA200" w14:textId="77777777" w:rsidR="001E2463" w:rsidRPr="00C65303" w:rsidRDefault="001E2463" w:rsidP="00C65303">
            <w:pPr>
              <w:spacing w:line="276" w:lineRule="auto"/>
              <w:jc w:val="center"/>
              <w:rPr>
                <w:rFonts w:ascii="Arial" w:hAnsi="Arial" w:cs="Arial"/>
                <w:sz w:val="23"/>
                <w:szCs w:val="23"/>
              </w:rPr>
            </w:pPr>
            <w:r w:rsidRPr="00C65303">
              <w:rPr>
                <w:rFonts w:ascii="Arial" w:hAnsi="Arial" w:cs="Arial"/>
                <w:sz w:val="23"/>
                <w:szCs w:val="23"/>
              </w:rPr>
              <w:t>Signed</w:t>
            </w:r>
          </w:p>
        </w:tc>
        <w:tc>
          <w:tcPr>
            <w:tcW w:w="3827" w:type="dxa"/>
          </w:tcPr>
          <w:p w14:paraId="291691AC" w14:textId="77777777" w:rsidR="001E2463" w:rsidRPr="00C65303" w:rsidRDefault="001E2463" w:rsidP="00C65303">
            <w:pPr>
              <w:spacing w:line="276" w:lineRule="auto"/>
              <w:jc w:val="center"/>
              <w:rPr>
                <w:rFonts w:ascii="Arial" w:hAnsi="Arial" w:cs="Arial"/>
                <w:sz w:val="23"/>
                <w:szCs w:val="23"/>
              </w:rPr>
            </w:pPr>
            <w:r w:rsidRPr="00C65303">
              <w:rPr>
                <w:rFonts w:ascii="Arial" w:hAnsi="Arial" w:cs="Arial"/>
                <w:sz w:val="23"/>
                <w:szCs w:val="23"/>
              </w:rPr>
              <w:t>Print name</w:t>
            </w:r>
          </w:p>
        </w:tc>
        <w:tc>
          <w:tcPr>
            <w:tcW w:w="2126" w:type="dxa"/>
          </w:tcPr>
          <w:p w14:paraId="61DF4BC0" w14:textId="77777777" w:rsidR="001E2463" w:rsidRPr="00C65303" w:rsidRDefault="001E2463" w:rsidP="00C65303">
            <w:pPr>
              <w:spacing w:line="276" w:lineRule="auto"/>
              <w:jc w:val="center"/>
              <w:rPr>
                <w:rFonts w:ascii="Arial" w:hAnsi="Arial" w:cs="Arial"/>
                <w:sz w:val="23"/>
                <w:szCs w:val="23"/>
              </w:rPr>
            </w:pPr>
            <w:r w:rsidRPr="00C65303">
              <w:rPr>
                <w:rFonts w:ascii="Arial" w:hAnsi="Arial" w:cs="Arial"/>
                <w:sz w:val="23"/>
                <w:szCs w:val="23"/>
              </w:rPr>
              <w:t>Date</w:t>
            </w:r>
          </w:p>
        </w:tc>
      </w:tr>
    </w:tbl>
    <w:p w14:paraId="4E64DA56" w14:textId="77777777" w:rsidR="001E2463" w:rsidRPr="00C65303" w:rsidRDefault="001E2463" w:rsidP="00C65303">
      <w:pPr>
        <w:spacing w:line="276" w:lineRule="auto"/>
        <w:jc w:val="both"/>
        <w:rPr>
          <w:rFonts w:ascii="Arial" w:hAnsi="Arial" w:cs="Arial"/>
          <w:b/>
          <w:sz w:val="23"/>
          <w:szCs w:val="23"/>
        </w:rPr>
      </w:pPr>
    </w:p>
    <w:sectPr w:rsidR="001E2463" w:rsidRPr="00C65303" w:rsidSect="00C65303">
      <w:pgSz w:w="11906" w:h="16838" w:code="9"/>
      <w:pgMar w:top="1440" w:right="1440" w:bottom="1440" w:left="1440" w:header="0" w:footer="0"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57D2B4" w14:textId="77777777" w:rsidR="000E69D3" w:rsidRDefault="000E69D3" w:rsidP="001E2463">
      <w:r>
        <w:separator/>
      </w:r>
    </w:p>
  </w:endnote>
  <w:endnote w:type="continuationSeparator" w:id="0">
    <w:p w14:paraId="6C25E86C" w14:textId="77777777" w:rsidR="000E69D3" w:rsidRDefault="000E69D3" w:rsidP="001E2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BoldMT">
    <w:altName w:val="Arial"/>
    <w:charset w:val="00"/>
    <w:family w:val="swiss"/>
    <w:pitch w:val="default"/>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1901F7" w14:textId="77777777" w:rsidR="000E69D3" w:rsidRDefault="000E69D3" w:rsidP="001E2463">
      <w:r>
        <w:separator/>
      </w:r>
    </w:p>
  </w:footnote>
  <w:footnote w:type="continuationSeparator" w:id="0">
    <w:p w14:paraId="26E601D0" w14:textId="77777777" w:rsidR="000E69D3" w:rsidRDefault="000E69D3" w:rsidP="001E2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8311F"/>
    <w:multiLevelType w:val="hybridMultilevel"/>
    <w:tmpl w:val="4A529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D4432D"/>
    <w:multiLevelType w:val="hybridMultilevel"/>
    <w:tmpl w:val="792892A8"/>
    <w:lvl w:ilvl="0" w:tplc="04769DA6">
      <w:start w:val="1"/>
      <w:numFmt w:val="decimal"/>
      <w:lvlText w:val="%1."/>
      <w:lvlJc w:val="left"/>
      <w:pPr>
        <w:ind w:left="720" w:hanging="360"/>
      </w:pPr>
      <w:rPr>
        <w:rFonts w:hint="default"/>
        <w:color w:val="00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0F0EE4"/>
    <w:multiLevelType w:val="hybridMultilevel"/>
    <w:tmpl w:val="FE127FB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CB"/>
    <w:rsid w:val="0000446B"/>
    <w:rsid w:val="00047D8E"/>
    <w:rsid w:val="00055EBF"/>
    <w:rsid w:val="0007284B"/>
    <w:rsid w:val="000738DC"/>
    <w:rsid w:val="000C4906"/>
    <w:rsid w:val="000E69D3"/>
    <w:rsid w:val="001325D9"/>
    <w:rsid w:val="0014319E"/>
    <w:rsid w:val="00147E29"/>
    <w:rsid w:val="00177130"/>
    <w:rsid w:val="001C0FEC"/>
    <w:rsid w:val="001E2463"/>
    <w:rsid w:val="002068D4"/>
    <w:rsid w:val="002261A2"/>
    <w:rsid w:val="00235224"/>
    <w:rsid w:val="002670B8"/>
    <w:rsid w:val="00270033"/>
    <w:rsid w:val="00297217"/>
    <w:rsid w:val="002E03E0"/>
    <w:rsid w:val="002E71E9"/>
    <w:rsid w:val="003749A7"/>
    <w:rsid w:val="00385E13"/>
    <w:rsid w:val="00393925"/>
    <w:rsid w:val="003A4B53"/>
    <w:rsid w:val="003A752F"/>
    <w:rsid w:val="003C3411"/>
    <w:rsid w:val="003D0B05"/>
    <w:rsid w:val="003D3B75"/>
    <w:rsid w:val="00442264"/>
    <w:rsid w:val="00455E9E"/>
    <w:rsid w:val="004A2041"/>
    <w:rsid w:val="004B6011"/>
    <w:rsid w:val="004C79E5"/>
    <w:rsid w:val="004F737B"/>
    <w:rsid w:val="00512055"/>
    <w:rsid w:val="00522FA0"/>
    <w:rsid w:val="005354F0"/>
    <w:rsid w:val="005368E2"/>
    <w:rsid w:val="0054287B"/>
    <w:rsid w:val="005C00BE"/>
    <w:rsid w:val="00622D54"/>
    <w:rsid w:val="006231F6"/>
    <w:rsid w:val="00627F3F"/>
    <w:rsid w:val="006508EB"/>
    <w:rsid w:val="00666E0E"/>
    <w:rsid w:val="00667161"/>
    <w:rsid w:val="00670355"/>
    <w:rsid w:val="006D02E2"/>
    <w:rsid w:val="006D0DB8"/>
    <w:rsid w:val="006D2375"/>
    <w:rsid w:val="006E3C74"/>
    <w:rsid w:val="00717822"/>
    <w:rsid w:val="00720377"/>
    <w:rsid w:val="007261C9"/>
    <w:rsid w:val="007406A9"/>
    <w:rsid w:val="00752A5D"/>
    <w:rsid w:val="0079425D"/>
    <w:rsid w:val="007A7E3D"/>
    <w:rsid w:val="007B558E"/>
    <w:rsid w:val="007C35D3"/>
    <w:rsid w:val="007C4118"/>
    <w:rsid w:val="007E34AF"/>
    <w:rsid w:val="007F09B2"/>
    <w:rsid w:val="007F7256"/>
    <w:rsid w:val="008035B6"/>
    <w:rsid w:val="00817A81"/>
    <w:rsid w:val="008710A5"/>
    <w:rsid w:val="008D7337"/>
    <w:rsid w:val="00906878"/>
    <w:rsid w:val="00921184"/>
    <w:rsid w:val="0096768C"/>
    <w:rsid w:val="009740E8"/>
    <w:rsid w:val="009811CA"/>
    <w:rsid w:val="009A16CA"/>
    <w:rsid w:val="009B7F4A"/>
    <w:rsid w:val="009F589E"/>
    <w:rsid w:val="00A16584"/>
    <w:rsid w:val="00A524A3"/>
    <w:rsid w:val="00A56838"/>
    <w:rsid w:val="00A9263B"/>
    <w:rsid w:val="00AC777B"/>
    <w:rsid w:val="00B06C15"/>
    <w:rsid w:val="00B10F18"/>
    <w:rsid w:val="00B152A5"/>
    <w:rsid w:val="00B26987"/>
    <w:rsid w:val="00B30360"/>
    <w:rsid w:val="00B47417"/>
    <w:rsid w:val="00B92FD9"/>
    <w:rsid w:val="00B95B45"/>
    <w:rsid w:val="00BD2104"/>
    <w:rsid w:val="00C31701"/>
    <w:rsid w:val="00C65303"/>
    <w:rsid w:val="00C657EA"/>
    <w:rsid w:val="00CB0808"/>
    <w:rsid w:val="00CC7247"/>
    <w:rsid w:val="00CD7D37"/>
    <w:rsid w:val="00CF3D9E"/>
    <w:rsid w:val="00D3216D"/>
    <w:rsid w:val="00D83AA4"/>
    <w:rsid w:val="00DB4AD6"/>
    <w:rsid w:val="00DE2012"/>
    <w:rsid w:val="00E2625B"/>
    <w:rsid w:val="00E33D05"/>
    <w:rsid w:val="00E61D3E"/>
    <w:rsid w:val="00E6591F"/>
    <w:rsid w:val="00EC09CB"/>
    <w:rsid w:val="00EF406A"/>
    <w:rsid w:val="00FA3ECB"/>
    <w:rsid w:val="00FD45B1"/>
    <w:rsid w:val="00FD6521"/>
    <w:rsid w:val="00FE34A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37EBE8"/>
  <w15:chartTrackingRefBased/>
  <w15:docId w15:val="{4C31953A-B391-43C5-9A78-CE30F48FF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paragraph" w:styleId="Heading1">
    <w:name w:val="heading 1"/>
    <w:basedOn w:val="Normal"/>
    <w:next w:val="Normal"/>
    <w:link w:val="Heading1Char"/>
    <w:uiPriority w:val="9"/>
    <w:qFormat/>
    <w:rsid w:val="00C65303"/>
    <w:pPr>
      <w:keepNext/>
      <w:jc w:val="center"/>
      <w:outlineLvl w:val="0"/>
    </w:pPr>
    <w:rPr>
      <w:b/>
      <w:sz w:val="22"/>
      <w:szCs w:val="20"/>
      <w:u w:val="single"/>
    </w:rPr>
  </w:style>
  <w:style w:type="paragraph" w:styleId="Heading2">
    <w:name w:val="heading 2"/>
    <w:basedOn w:val="Normal"/>
    <w:next w:val="Normal"/>
    <w:link w:val="Heading2Char"/>
    <w:uiPriority w:val="9"/>
    <w:unhideWhenUsed/>
    <w:qFormat/>
    <w:rsid w:val="00C65303"/>
    <w:pPr>
      <w:keepNext/>
      <w:keepLines/>
      <w:spacing w:before="40"/>
      <w:outlineLvl w:val="1"/>
    </w:pPr>
    <w:rPr>
      <w:rFonts w:ascii="Calibri Light" w:eastAsia="SimSu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10F18"/>
    <w:rPr>
      <w:rFonts w:ascii="Tahoma" w:hAnsi="Tahoma" w:cs="Tahoma"/>
      <w:sz w:val="16"/>
      <w:szCs w:val="16"/>
    </w:rPr>
  </w:style>
  <w:style w:type="table" w:styleId="TableGrid">
    <w:name w:val="Table Grid"/>
    <w:basedOn w:val="TableNormal"/>
    <w:rsid w:val="00974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D0DB8"/>
    <w:rPr>
      <w:color w:val="0000FF"/>
      <w:u w:val="single"/>
    </w:rPr>
  </w:style>
  <w:style w:type="paragraph" w:styleId="Header">
    <w:name w:val="header"/>
    <w:basedOn w:val="Normal"/>
    <w:link w:val="HeaderChar"/>
    <w:uiPriority w:val="99"/>
    <w:unhideWhenUsed/>
    <w:rsid w:val="001E2463"/>
    <w:pPr>
      <w:tabs>
        <w:tab w:val="center" w:pos="4513"/>
        <w:tab w:val="right" w:pos="9026"/>
      </w:tabs>
    </w:pPr>
    <w:rPr>
      <w:lang w:val="x-none" w:eastAsia="x-none"/>
    </w:rPr>
  </w:style>
  <w:style w:type="character" w:customStyle="1" w:styleId="HeaderChar">
    <w:name w:val="Header Char"/>
    <w:link w:val="Header"/>
    <w:uiPriority w:val="99"/>
    <w:rsid w:val="001E2463"/>
    <w:rPr>
      <w:sz w:val="24"/>
      <w:szCs w:val="24"/>
    </w:rPr>
  </w:style>
  <w:style w:type="paragraph" w:styleId="Footer">
    <w:name w:val="footer"/>
    <w:basedOn w:val="Normal"/>
    <w:link w:val="FooterChar"/>
    <w:uiPriority w:val="99"/>
    <w:unhideWhenUsed/>
    <w:rsid w:val="001E2463"/>
    <w:pPr>
      <w:tabs>
        <w:tab w:val="center" w:pos="4513"/>
        <w:tab w:val="right" w:pos="9026"/>
      </w:tabs>
    </w:pPr>
    <w:rPr>
      <w:lang w:val="x-none" w:eastAsia="x-none"/>
    </w:rPr>
  </w:style>
  <w:style w:type="character" w:customStyle="1" w:styleId="FooterChar">
    <w:name w:val="Footer Char"/>
    <w:link w:val="Footer"/>
    <w:uiPriority w:val="99"/>
    <w:rsid w:val="001E2463"/>
    <w:rPr>
      <w:sz w:val="24"/>
      <w:szCs w:val="24"/>
    </w:rPr>
  </w:style>
  <w:style w:type="character" w:customStyle="1" w:styleId="Heading1Char">
    <w:name w:val="Heading 1 Char"/>
    <w:basedOn w:val="DefaultParagraphFont"/>
    <w:link w:val="Heading1"/>
    <w:uiPriority w:val="9"/>
    <w:rsid w:val="00C65303"/>
    <w:rPr>
      <w:b/>
      <w:sz w:val="22"/>
      <w:u w:val="single"/>
      <w:lang w:eastAsia="en-GB"/>
    </w:rPr>
  </w:style>
  <w:style w:type="character" w:customStyle="1" w:styleId="Heading2Char">
    <w:name w:val="Heading 2 Char"/>
    <w:basedOn w:val="DefaultParagraphFont"/>
    <w:link w:val="Heading2"/>
    <w:uiPriority w:val="9"/>
    <w:rsid w:val="00C65303"/>
    <w:rPr>
      <w:rFonts w:ascii="Calibri Light" w:eastAsia="SimSun" w:hAnsi="Calibri Light"/>
      <w:color w:val="2E74B5"/>
      <w:sz w:val="26"/>
      <w:szCs w:val="26"/>
      <w:lang w:eastAsia="en-GB"/>
    </w:rPr>
  </w:style>
  <w:style w:type="character" w:styleId="UnresolvedMention">
    <w:name w:val="Unresolved Mention"/>
    <w:basedOn w:val="DefaultParagraphFont"/>
    <w:uiPriority w:val="99"/>
    <w:semiHidden/>
    <w:unhideWhenUsed/>
    <w:rsid w:val="00C65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745187">
      <w:bodyDiv w:val="1"/>
      <w:marLeft w:val="0"/>
      <w:marRight w:val="0"/>
      <w:marTop w:val="0"/>
      <w:marBottom w:val="0"/>
      <w:divBdr>
        <w:top w:val="none" w:sz="0" w:space="0" w:color="auto"/>
        <w:left w:val="none" w:sz="0" w:space="0" w:color="auto"/>
        <w:bottom w:val="none" w:sz="0" w:space="0" w:color="auto"/>
        <w:right w:val="none" w:sz="0" w:space="0" w:color="auto"/>
      </w:divBdr>
    </w:div>
    <w:div w:id="197001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_examinations@adm.leeds.ac.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Independent Examiner’s Preliminary Report</vt:lpstr>
    </vt:vector>
  </TitlesOfParts>
  <Company>University of Leeds</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Examiner’s Preliminary Report</dc:title>
  <dc:subject/>
  <dc:creator>Trevor Gorringe</dc:creator>
  <cp:keywords/>
  <cp:lastModifiedBy>Felicity Jackson</cp:lastModifiedBy>
  <cp:revision>3</cp:revision>
  <cp:lastPrinted>2007-02-19T08:44:00Z</cp:lastPrinted>
  <dcterms:created xsi:type="dcterms:W3CDTF">2022-09-12T12:34:00Z</dcterms:created>
  <dcterms:modified xsi:type="dcterms:W3CDTF">2023-10-11T07:50:00Z</dcterms:modified>
</cp:coreProperties>
</file>