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F9" w:rsidRPr="000234CC" w:rsidRDefault="00DD3FF9" w:rsidP="00F62F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234CC">
        <w:rPr>
          <w:rFonts w:ascii="Arial" w:hAnsi="Arial" w:cs="Arial"/>
          <w:b/>
          <w:sz w:val="22"/>
          <w:szCs w:val="22"/>
        </w:rPr>
        <w:t xml:space="preserve">APPENDIX </w:t>
      </w:r>
      <w:r w:rsidR="00BF62ED">
        <w:rPr>
          <w:rFonts w:ascii="Arial" w:hAnsi="Arial" w:cs="Arial"/>
          <w:b/>
          <w:sz w:val="22"/>
          <w:szCs w:val="22"/>
        </w:rPr>
        <w:t>2</w:t>
      </w:r>
      <w:r w:rsidR="000C4ECB">
        <w:rPr>
          <w:rFonts w:ascii="Arial" w:hAnsi="Arial" w:cs="Arial"/>
          <w:b/>
          <w:sz w:val="22"/>
          <w:szCs w:val="22"/>
        </w:rPr>
        <w:t>:</w:t>
      </w:r>
    </w:p>
    <w:p w:rsidR="00DD3FF9" w:rsidRPr="000234CC" w:rsidRDefault="00DD3FF9" w:rsidP="00F62F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234CC">
        <w:rPr>
          <w:rFonts w:ascii="Arial" w:hAnsi="Arial" w:cs="Arial"/>
          <w:b/>
          <w:sz w:val="22"/>
          <w:szCs w:val="22"/>
        </w:rPr>
        <w:t xml:space="preserve">GUIDANCE ON COMPLETING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0234CC">
        <w:rPr>
          <w:rFonts w:ascii="Arial" w:hAnsi="Arial" w:cs="Arial"/>
          <w:b/>
          <w:sz w:val="22"/>
          <w:szCs w:val="22"/>
        </w:rPr>
        <w:t>RISK ASSESSMENT</w:t>
      </w:r>
    </w:p>
    <w:p w:rsidR="00DD3FF9" w:rsidRDefault="00DD3FF9" w:rsidP="00F62F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ADMISSION OF A CHILD OR YOUNG PERSON</w:t>
      </w:r>
    </w:p>
    <w:p w:rsidR="00DD3FF9" w:rsidRDefault="00DD3FF9" w:rsidP="00F62F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C4ECB" w:rsidRDefault="000C4ECB" w:rsidP="00DD3FF9">
      <w:pPr>
        <w:jc w:val="center"/>
        <w:rPr>
          <w:rFonts w:ascii="Arial" w:hAnsi="Arial" w:cs="Arial"/>
          <w:b/>
          <w:sz w:val="22"/>
          <w:szCs w:val="22"/>
        </w:rPr>
      </w:pPr>
    </w:p>
    <w:p w:rsidR="00DD3FF9" w:rsidRDefault="00DD3FF9" w:rsidP="00F62F1B">
      <w:pPr>
        <w:pStyle w:val="ListParagraph"/>
        <w:numPr>
          <w:ilvl w:val="0"/>
          <w:numId w:val="2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  <w:r w:rsidRPr="007922B5">
        <w:rPr>
          <w:rFonts w:ascii="Arial" w:hAnsi="Arial" w:cs="Arial"/>
          <w:b/>
          <w:sz w:val="22"/>
          <w:szCs w:val="22"/>
        </w:rPr>
        <w:t>Introduction</w:t>
      </w:r>
    </w:p>
    <w:p w:rsidR="00E35497" w:rsidRPr="007922B5" w:rsidRDefault="00E35497" w:rsidP="00F62F1B">
      <w:pPr>
        <w:pStyle w:val="ListParagraph"/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</w:p>
    <w:p w:rsidR="00DD3FF9" w:rsidRPr="00CC577A" w:rsidRDefault="00DD3FF9" w:rsidP="005E5AC9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577A">
        <w:rPr>
          <w:rFonts w:ascii="Arial" w:hAnsi="Arial" w:cs="Arial"/>
          <w:sz w:val="22"/>
          <w:szCs w:val="22"/>
        </w:rPr>
        <w:t>There is a clear demarcation between health and safety support</w:t>
      </w:r>
      <w:r w:rsidR="00E35497">
        <w:rPr>
          <w:rFonts w:ascii="Arial" w:hAnsi="Arial" w:cs="Arial"/>
          <w:sz w:val="22"/>
          <w:szCs w:val="22"/>
        </w:rPr>
        <w:t>,</w:t>
      </w:r>
      <w:r w:rsidRPr="00CC577A">
        <w:rPr>
          <w:rFonts w:ascii="Arial" w:hAnsi="Arial" w:cs="Arial"/>
          <w:sz w:val="22"/>
          <w:szCs w:val="22"/>
        </w:rPr>
        <w:t xml:space="preserve"> and advice on safeguarding / child protection issues.</w:t>
      </w:r>
      <w:r>
        <w:rPr>
          <w:rFonts w:ascii="Arial" w:hAnsi="Arial" w:cs="Arial"/>
          <w:sz w:val="22"/>
          <w:szCs w:val="22"/>
        </w:rPr>
        <w:t xml:space="preserve"> </w:t>
      </w:r>
      <w:r w:rsidRPr="00CC577A">
        <w:rPr>
          <w:rFonts w:ascii="Arial" w:hAnsi="Arial" w:cs="Arial"/>
          <w:sz w:val="22"/>
          <w:szCs w:val="22"/>
        </w:rPr>
        <w:t xml:space="preserve">The guidance in this appendix considers only the Health and Safety aspects of Risk Assessment for </w:t>
      </w:r>
      <w:r>
        <w:rPr>
          <w:rFonts w:ascii="Arial" w:hAnsi="Arial" w:cs="Arial"/>
          <w:sz w:val="22"/>
          <w:szCs w:val="22"/>
        </w:rPr>
        <w:t>Admission of a child or young person</w:t>
      </w:r>
      <w:r w:rsidRPr="00CC577A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Risks related to Safeguarding / Child Protection must be assessed separately by </w:t>
      </w:r>
      <w:r w:rsidRPr="00CC577A">
        <w:rPr>
          <w:rFonts w:ascii="Arial" w:hAnsi="Arial" w:cs="Arial"/>
          <w:sz w:val="22"/>
          <w:szCs w:val="22"/>
        </w:rPr>
        <w:t>refer</w:t>
      </w:r>
      <w:r>
        <w:rPr>
          <w:rFonts w:ascii="Arial" w:hAnsi="Arial" w:cs="Arial"/>
          <w:sz w:val="22"/>
          <w:szCs w:val="22"/>
        </w:rPr>
        <w:t>ring</w:t>
      </w:r>
      <w:r w:rsidRPr="00CC577A">
        <w:rPr>
          <w:rFonts w:ascii="Arial" w:hAnsi="Arial" w:cs="Arial"/>
          <w:sz w:val="22"/>
          <w:szCs w:val="22"/>
        </w:rPr>
        <w:t xml:space="preserve"> to the guidance in Appendix </w:t>
      </w:r>
      <w:r w:rsidR="00E35497">
        <w:rPr>
          <w:rFonts w:ascii="Arial" w:hAnsi="Arial" w:cs="Arial"/>
          <w:sz w:val="22"/>
          <w:szCs w:val="22"/>
        </w:rPr>
        <w:t>5</w:t>
      </w:r>
      <w:r w:rsidR="00BF62ED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5E5AC9" w:rsidRPr="001D2AC3">
          <w:rPr>
            <w:rStyle w:val="Hyperlink"/>
            <w:rFonts w:ascii="Arial" w:hAnsi="Arial" w:cs="Arial"/>
            <w:sz w:val="22"/>
            <w:szCs w:val="22"/>
          </w:rPr>
          <w:t>http://ses.leeds.ac.uk/downloads/download/956/appendix_5-staff_guidance_notes</w:t>
        </w:r>
      </w:hyperlink>
      <w:r w:rsidR="005E5AC9">
        <w:rPr>
          <w:rFonts w:ascii="Arial" w:hAnsi="Arial" w:cs="Arial"/>
          <w:sz w:val="22"/>
          <w:szCs w:val="22"/>
        </w:rPr>
        <w:t xml:space="preserve"> </w:t>
      </w:r>
      <w:r w:rsidR="00BF62ED" w:rsidRPr="000C4ECB">
        <w:rPr>
          <w:rFonts w:ascii="Arial" w:hAnsi="Arial" w:cs="Arial"/>
          <w:sz w:val="22"/>
          <w:szCs w:val="22"/>
        </w:rPr>
        <w:t>but</w:t>
      </w:r>
      <w:r w:rsidR="00BF62ED">
        <w:rPr>
          <w:rFonts w:ascii="Arial" w:hAnsi="Arial" w:cs="Arial"/>
          <w:sz w:val="22"/>
          <w:szCs w:val="22"/>
        </w:rPr>
        <w:t xml:space="preserve"> included in the Risk Assessment document</w:t>
      </w:r>
      <w:r w:rsidR="000F5610">
        <w:rPr>
          <w:rFonts w:ascii="Arial" w:hAnsi="Arial" w:cs="Arial"/>
          <w:sz w:val="22"/>
          <w:szCs w:val="22"/>
        </w:rPr>
        <w:t xml:space="preserve"> (Appendix </w:t>
      </w:r>
      <w:r w:rsidR="00E35497">
        <w:rPr>
          <w:rFonts w:ascii="Arial" w:hAnsi="Arial" w:cs="Arial"/>
          <w:sz w:val="22"/>
          <w:szCs w:val="22"/>
        </w:rPr>
        <w:t>2A</w:t>
      </w:r>
      <w:r w:rsidR="000C4EC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A148AA">
          <w:rPr>
            <w:rStyle w:val="Hyperlink"/>
            <w:rFonts w:ascii="Arial" w:hAnsi="Arial" w:cs="Arial"/>
          </w:rPr>
          <w:t>http://ses.leeds.ac.uk/download/1133/appendix_2a_risk_assessment_form</w:t>
        </w:r>
      </w:hyperlink>
      <w:r w:rsidR="000F5610">
        <w:rPr>
          <w:rFonts w:ascii="Arial" w:hAnsi="Arial" w:cs="Arial"/>
          <w:sz w:val="22"/>
          <w:szCs w:val="22"/>
        </w:rPr>
        <w:t>)</w:t>
      </w:r>
      <w:r w:rsidR="00E35497">
        <w:rPr>
          <w:rFonts w:ascii="Arial" w:hAnsi="Arial" w:cs="Arial"/>
          <w:sz w:val="22"/>
          <w:szCs w:val="22"/>
        </w:rPr>
        <w:t xml:space="preserve">, or other form referenced in the University Risk Assessment Protocol </w:t>
      </w:r>
      <w:hyperlink r:id="rId9" w:history="1">
        <w:r w:rsidR="00E35497" w:rsidRPr="00153343">
          <w:rPr>
            <w:rStyle w:val="Hyperlink"/>
            <w:rFonts w:ascii="Arial" w:hAnsi="Arial" w:cs="Arial"/>
            <w:sz w:val="22"/>
            <w:szCs w:val="22"/>
          </w:rPr>
          <w:t>http://leeds.ac.uk/safety/risk/index.htm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DD3FF9" w:rsidRDefault="00DD3FF9" w:rsidP="00F62F1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DD3FF9" w:rsidRPr="007922B5" w:rsidRDefault="00DD3FF9" w:rsidP="00F62F1B">
      <w:pPr>
        <w:pStyle w:val="ListParagraph"/>
        <w:numPr>
          <w:ilvl w:val="0"/>
          <w:numId w:val="2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  <w:r w:rsidRPr="007922B5">
        <w:rPr>
          <w:rFonts w:ascii="Arial" w:hAnsi="Arial" w:cs="Arial"/>
          <w:b/>
          <w:sz w:val="22"/>
          <w:szCs w:val="22"/>
        </w:rPr>
        <w:t>Background</w:t>
      </w:r>
    </w:p>
    <w:p w:rsidR="00DD3FF9" w:rsidRPr="000234CC" w:rsidRDefault="00DD3FF9" w:rsidP="00F62F1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D3FF9" w:rsidRPr="007922B5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b/>
          <w:sz w:val="22"/>
          <w:szCs w:val="22"/>
        </w:rPr>
      </w:pPr>
      <w:r w:rsidRPr="00CC577A">
        <w:rPr>
          <w:rFonts w:ascii="Arial" w:hAnsi="Arial" w:cs="Arial"/>
          <w:sz w:val="22"/>
          <w:szCs w:val="22"/>
        </w:rPr>
        <w:t xml:space="preserve">A duty of care is owed to all Protected Persons in the care of University staff and/or on University premises.  In accordance with the </w:t>
      </w:r>
      <w:r>
        <w:rPr>
          <w:rFonts w:ascii="Arial" w:hAnsi="Arial" w:cs="Arial"/>
          <w:sz w:val="22"/>
          <w:szCs w:val="22"/>
        </w:rPr>
        <w:t>University P</w:t>
      </w:r>
      <w:r w:rsidRPr="00CC577A">
        <w:rPr>
          <w:rFonts w:ascii="Arial" w:hAnsi="Arial" w:cs="Arial"/>
          <w:sz w:val="22"/>
          <w:szCs w:val="22"/>
        </w:rPr>
        <w:t xml:space="preserve">olicy on </w:t>
      </w:r>
      <w:r>
        <w:rPr>
          <w:rFonts w:ascii="Arial" w:hAnsi="Arial" w:cs="Arial"/>
          <w:sz w:val="22"/>
          <w:szCs w:val="22"/>
        </w:rPr>
        <w:t>S</w:t>
      </w:r>
      <w:r w:rsidRPr="00CC577A">
        <w:rPr>
          <w:rFonts w:ascii="Arial" w:hAnsi="Arial" w:cs="Arial"/>
          <w:sz w:val="22"/>
          <w:szCs w:val="22"/>
        </w:rPr>
        <w:t>afeguarding children</w:t>
      </w:r>
      <w:r>
        <w:rPr>
          <w:rFonts w:ascii="Arial" w:hAnsi="Arial" w:cs="Arial"/>
          <w:sz w:val="22"/>
          <w:szCs w:val="22"/>
        </w:rPr>
        <w:t>, young persons</w:t>
      </w:r>
      <w:r w:rsidRPr="00CC577A">
        <w:rPr>
          <w:rFonts w:ascii="Arial" w:hAnsi="Arial" w:cs="Arial"/>
          <w:sz w:val="22"/>
          <w:szCs w:val="22"/>
        </w:rPr>
        <w:t xml:space="preserve"> and adults</w:t>
      </w:r>
      <w:r>
        <w:rPr>
          <w:rFonts w:ascii="Arial" w:hAnsi="Arial" w:cs="Arial"/>
          <w:sz w:val="22"/>
          <w:szCs w:val="22"/>
        </w:rPr>
        <w:t xml:space="preserve"> in vulnerable circumstances</w:t>
      </w:r>
      <w:r w:rsidRPr="00CC577A">
        <w:rPr>
          <w:rFonts w:ascii="Arial" w:hAnsi="Arial" w:cs="Arial"/>
          <w:sz w:val="22"/>
          <w:szCs w:val="22"/>
        </w:rPr>
        <w:t xml:space="preserve"> (the Policy) and the </w:t>
      </w:r>
      <w:r w:rsidR="000C4ECB">
        <w:rPr>
          <w:rFonts w:ascii="Arial" w:hAnsi="Arial" w:cs="Arial"/>
          <w:sz w:val="22"/>
          <w:szCs w:val="22"/>
        </w:rPr>
        <w:t>Guidance</w:t>
      </w:r>
      <w:r w:rsidRPr="00CC577A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 xml:space="preserve">admission </w:t>
      </w:r>
      <w:r w:rsidRPr="00DD3FF9">
        <w:rPr>
          <w:rFonts w:ascii="Arial" w:hAnsi="Arial" w:cs="Arial"/>
          <w:sz w:val="22"/>
          <w:szCs w:val="22"/>
        </w:rPr>
        <w:t>of young persons and children and on safeguarding students under 18 and adult students in vulnerable circumstances</w:t>
      </w:r>
      <w:r w:rsidRPr="00CC577A">
        <w:rPr>
          <w:rFonts w:ascii="Arial" w:hAnsi="Arial" w:cs="Arial"/>
          <w:sz w:val="22"/>
          <w:szCs w:val="22"/>
        </w:rPr>
        <w:t xml:space="preserve"> (the </w:t>
      </w:r>
      <w:r w:rsidR="000C4ECB">
        <w:rPr>
          <w:rFonts w:ascii="Arial" w:hAnsi="Arial" w:cs="Arial"/>
          <w:sz w:val="22"/>
          <w:szCs w:val="22"/>
        </w:rPr>
        <w:t>Guidance</w:t>
      </w:r>
      <w:r w:rsidRPr="00CC577A">
        <w:rPr>
          <w:rFonts w:ascii="Arial" w:hAnsi="Arial" w:cs="Arial"/>
          <w:sz w:val="22"/>
          <w:szCs w:val="22"/>
        </w:rPr>
        <w:t xml:space="preserve">), there is a requirement that all </w:t>
      </w:r>
      <w:r>
        <w:rPr>
          <w:rFonts w:ascii="Arial" w:hAnsi="Arial" w:cs="Arial"/>
          <w:sz w:val="22"/>
          <w:szCs w:val="22"/>
        </w:rPr>
        <w:t xml:space="preserve">admissions of under 18s </w:t>
      </w:r>
      <w:r w:rsidRPr="00CC577A">
        <w:rPr>
          <w:rFonts w:ascii="Arial" w:hAnsi="Arial" w:cs="Arial"/>
          <w:sz w:val="22"/>
          <w:szCs w:val="22"/>
        </w:rPr>
        <w:t>must be subject to a satisfactory Risk Assessment.  The purpose of the Risk Assessment is to identify and minimise any risks to an acceptable level so that the duty of care is not breached.</w:t>
      </w:r>
    </w:p>
    <w:p w:rsidR="00DD3FF9" w:rsidRDefault="00DD3FF9" w:rsidP="00F62F1B">
      <w:pPr>
        <w:pStyle w:val="ListParagraph"/>
        <w:spacing w:line="360" w:lineRule="auto"/>
        <w:ind w:left="1418"/>
        <w:rPr>
          <w:rFonts w:ascii="Arial" w:hAnsi="Arial" w:cs="Arial"/>
          <w:sz w:val="22"/>
          <w:szCs w:val="22"/>
        </w:rPr>
      </w:pPr>
    </w:p>
    <w:p w:rsidR="00DD3FF9" w:rsidRDefault="00DD3FF9" w:rsidP="005E5AC9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7922B5">
        <w:rPr>
          <w:rFonts w:ascii="Arial" w:hAnsi="Arial" w:cs="Arial"/>
          <w:sz w:val="22"/>
          <w:szCs w:val="22"/>
        </w:rPr>
        <w:t>Adults are no longer labelled a</w:t>
      </w:r>
      <w:r>
        <w:rPr>
          <w:rFonts w:ascii="Arial" w:hAnsi="Arial" w:cs="Arial"/>
          <w:sz w:val="22"/>
          <w:szCs w:val="22"/>
        </w:rPr>
        <w:t xml:space="preserve">s “vulnerable”.  Instead, the definition identifies the activities which, if any adult requires them, lead to that adult being considered vulnerable at that particular time (see paragraph </w:t>
      </w:r>
      <w:r w:rsidR="00E3549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.3.3 of </w:t>
      </w:r>
      <w:r w:rsidR="00E35497">
        <w:rPr>
          <w:rFonts w:ascii="Arial" w:hAnsi="Arial" w:cs="Arial"/>
          <w:sz w:val="22"/>
          <w:szCs w:val="22"/>
        </w:rPr>
        <w:t>Appendix 5</w:t>
      </w:r>
      <w:r w:rsidR="005E5AC9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E5AC9" w:rsidRPr="001D2AC3">
          <w:rPr>
            <w:rStyle w:val="Hyperlink"/>
            <w:rFonts w:ascii="Arial" w:hAnsi="Arial" w:cs="Arial"/>
            <w:sz w:val="22"/>
            <w:szCs w:val="22"/>
          </w:rPr>
          <w:t>http://ses.leeds.ac.uk/downloads/download/956/appendix_5-staff_guidance_notes</w:t>
        </w:r>
      </w:hyperlink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).  Briefly, there are six defined categories being healthcare; personal care; social work; assistance with general household </w:t>
      </w:r>
      <w:r>
        <w:rPr>
          <w:rFonts w:ascii="Arial" w:hAnsi="Arial" w:cs="Arial"/>
          <w:sz w:val="22"/>
          <w:szCs w:val="22"/>
        </w:rPr>
        <w:lastRenderedPageBreak/>
        <w:t>matters; assistance with conduct of the adult’s own affairs; and conveying due to age, illness or disability in certain circumstances.</w:t>
      </w:r>
    </w:p>
    <w:p w:rsidR="00DD3FF9" w:rsidRDefault="00DD3FF9" w:rsidP="00F62F1B">
      <w:pPr>
        <w:pStyle w:val="ListParagraph"/>
        <w:spacing w:line="360" w:lineRule="auto"/>
        <w:ind w:left="1418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anticipated that where an activity as defined in 2.2 above is to be carried out, the Service undertaking that activity will undertake its own Risk Assessment.</w:t>
      </w:r>
    </w:p>
    <w:p w:rsidR="00DD3FF9" w:rsidRPr="007922B5" w:rsidRDefault="00DD3FF9" w:rsidP="00F62F1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DD3FF9" w:rsidRPr="007922B5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Accordingly, this Guidance relates only to </w:t>
      </w:r>
      <w:r w:rsidR="00A4136A">
        <w:rPr>
          <w:rFonts w:ascii="Arial" w:hAnsi="Arial" w:cs="Arial"/>
          <w:sz w:val="22"/>
          <w:szCs w:val="22"/>
        </w:rPr>
        <w:t xml:space="preserve">Admissions of </w:t>
      </w:r>
      <w:r>
        <w:rPr>
          <w:rFonts w:ascii="Arial" w:hAnsi="Arial" w:cs="Arial"/>
          <w:sz w:val="22"/>
          <w:szCs w:val="22"/>
        </w:rPr>
        <w:t>Children</w:t>
      </w:r>
      <w:r w:rsidR="00A4136A">
        <w:rPr>
          <w:rFonts w:ascii="Arial" w:hAnsi="Arial" w:cs="Arial"/>
          <w:sz w:val="22"/>
          <w:szCs w:val="22"/>
        </w:rPr>
        <w:t xml:space="preserve"> and Young Persons</w:t>
      </w:r>
      <w:r>
        <w:rPr>
          <w:rFonts w:ascii="Arial" w:hAnsi="Arial" w:cs="Arial"/>
          <w:sz w:val="22"/>
          <w:szCs w:val="22"/>
        </w:rPr>
        <w:t>.</w:t>
      </w:r>
    </w:p>
    <w:p w:rsidR="00DD3FF9" w:rsidRDefault="00DD3FF9" w:rsidP="00F62F1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D3FF9" w:rsidRPr="007922B5" w:rsidRDefault="00DD3FF9" w:rsidP="00F62F1B">
      <w:pPr>
        <w:pStyle w:val="ListParagraph"/>
        <w:numPr>
          <w:ilvl w:val="0"/>
          <w:numId w:val="2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  <w:r w:rsidRPr="007922B5">
        <w:rPr>
          <w:rFonts w:ascii="Arial" w:hAnsi="Arial" w:cs="Arial"/>
          <w:b/>
          <w:sz w:val="22"/>
          <w:szCs w:val="22"/>
        </w:rPr>
        <w:t xml:space="preserve">Risk Assessment for Health and Safety </w:t>
      </w:r>
    </w:p>
    <w:p w:rsidR="00DD3FF9" w:rsidRPr="000234CC" w:rsidRDefault="00DD3FF9" w:rsidP="00F62F1B">
      <w:pPr>
        <w:spacing w:line="360" w:lineRule="auto"/>
        <w:rPr>
          <w:rFonts w:ascii="Arial" w:hAnsi="Arial" w:cs="Arial"/>
          <w:sz w:val="22"/>
          <w:szCs w:val="22"/>
        </w:rPr>
      </w:pPr>
    </w:p>
    <w:p w:rsidR="00DD3FF9" w:rsidRPr="00CC577A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b/>
          <w:sz w:val="22"/>
          <w:szCs w:val="22"/>
        </w:rPr>
      </w:pPr>
      <w:r w:rsidRPr="00CC577A">
        <w:rPr>
          <w:rFonts w:ascii="Arial" w:hAnsi="Arial" w:cs="Arial"/>
          <w:sz w:val="22"/>
          <w:szCs w:val="22"/>
        </w:rPr>
        <w:t xml:space="preserve">The Risk Assessment must be carried out by the </w:t>
      </w:r>
      <w:r w:rsidR="00E35497">
        <w:rPr>
          <w:rFonts w:ascii="Arial" w:hAnsi="Arial" w:cs="Arial"/>
          <w:sz w:val="22"/>
          <w:szCs w:val="22"/>
        </w:rPr>
        <w:t>ESO in conjunction with the relevant HSM</w:t>
      </w:r>
      <w:r w:rsidR="00327B54">
        <w:rPr>
          <w:rFonts w:ascii="Arial" w:hAnsi="Arial" w:cs="Arial"/>
          <w:sz w:val="22"/>
          <w:szCs w:val="22"/>
        </w:rPr>
        <w:t xml:space="preserve">.  They </w:t>
      </w:r>
      <w:r w:rsidRPr="00CC577A">
        <w:rPr>
          <w:rFonts w:ascii="Arial" w:hAnsi="Arial" w:cs="Arial"/>
          <w:sz w:val="22"/>
          <w:szCs w:val="22"/>
        </w:rPr>
        <w:t xml:space="preserve">must </w:t>
      </w:r>
      <w:r w:rsidR="00327B54">
        <w:rPr>
          <w:rFonts w:ascii="Arial" w:hAnsi="Arial" w:cs="Arial"/>
          <w:sz w:val="22"/>
          <w:szCs w:val="22"/>
        </w:rPr>
        <w:t xml:space="preserve">make themselves </w:t>
      </w:r>
      <w:r w:rsidRPr="00CC577A">
        <w:rPr>
          <w:rFonts w:ascii="Arial" w:hAnsi="Arial" w:cs="Arial"/>
          <w:sz w:val="22"/>
          <w:szCs w:val="22"/>
        </w:rPr>
        <w:t xml:space="preserve">fully conversant with the </w:t>
      </w:r>
      <w:r w:rsidR="00A4136A">
        <w:rPr>
          <w:rFonts w:ascii="Arial" w:hAnsi="Arial" w:cs="Arial"/>
          <w:sz w:val="22"/>
          <w:szCs w:val="22"/>
        </w:rPr>
        <w:t>requirements of the programme</w:t>
      </w:r>
      <w:r w:rsidR="00327B54">
        <w:rPr>
          <w:rFonts w:ascii="Arial" w:hAnsi="Arial" w:cs="Arial"/>
          <w:sz w:val="22"/>
          <w:szCs w:val="22"/>
        </w:rPr>
        <w:t xml:space="preserve"> by way of input from the relevant Admissions Tutor/Programme Leader as appropriate in order that the HSM </w:t>
      </w:r>
      <w:r w:rsidR="00F62F1B">
        <w:rPr>
          <w:rFonts w:ascii="Arial" w:hAnsi="Arial" w:cs="Arial"/>
          <w:sz w:val="22"/>
          <w:szCs w:val="22"/>
        </w:rPr>
        <w:t>has a</w:t>
      </w:r>
      <w:r w:rsidRPr="00CC577A">
        <w:rPr>
          <w:rFonts w:ascii="Arial" w:hAnsi="Arial" w:cs="Arial"/>
          <w:sz w:val="22"/>
          <w:szCs w:val="22"/>
        </w:rPr>
        <w:t xml:space="preserve"> full appreciation of the hazards and risks involved in each individual case.  The level of detail in a Risk Assessment should be proportionate to the risk.  It does not need to be complex but it must be comprehensive.</w:t>
      </w:r>
    </w:p>
    <w:p w:rsidR="00DD3FF9" w:rsidRDefault="00DD3FF9" w:rsidP="00F62F1B">
      <w:pPr>
        <w:pStyle w:val="ListParagraph"/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the risk assessment is to identify </w:t>
      </w:r>
      <w:r w:rsidR="00327B54">
        <w:rPr>
          <w:rFonts w:ascii="Arial" w:hAnsi="Arial" w:cs="Arial"/>
          <w:sz w:val="22"/>
          <w:szCs w:val="22"/>
        </w:rPr>
        <w:t>the hazards presented by</w:t>
      </w:r>
      <w:r>
        <w:rPr>
          <w:rFonts w:ascii="Arial" w:hAnsi="Arial" w:cs="Arial"/>
          <w:sz w:val="22"/>
          <w:szCs w:val="22"/>
        </w:rPr>
        <w:t xml:space="preserve"> the proposed </w:t>
      </w:r>
      <w:r w:rsidR="000F5610">
        <w:rPr>
          <w:rFonts w:ascii="Arial" w:hAnsi="Arial" w:cs="Arial"/>
          <w:sz w:val="22"/>
          <w:szCs w:val="22"/>
        </w:rPr>
        <w:t>programme of study</w:t>
      </w:r>
      <w:r w:rsidR="00327B54">
        <w:rPr>
          <w:rFonts w:ascii="Arial" w:hAnsi="Arial" w:cs="Arial"/>
          <w:sz w:val="22"/>
          <w:szCs w:val="22"/>
        </w:rPr>
        <w:t xml:space="preserve"> and what</w:t>
      </w:r>
      <w:r>
        <w:rPr>
          <w:rFonts w:ascii="Arial" w:hAnsi="Arial" w:cs="Arial"/>
          <w:sz w:val="22"/>
          <w:szCs w:val="22"/>
        </w:rPr>
        <w:t xml:space="preserve"> could cause harm to the </w:t>
      </w:r>
      <w:r w:rsidR="00A4136A">
        <w:rPr>
          <w:rFonts w:ascii="Arial" w:hAnsi="Arial" w:cs="Arial"/>
          <w:sz w:val="22"/>
          <w:szCs w:val="22"/>
        </w:rPr>
        <w:t>Applicant</w:t>
      </w:r>
      <w:r>
        <w:rPr>
          <w:rFonts w:ascii="Arial" w:hAnsi="Arial" w:cs="Arial"/>
          <w:sz w:val="22"/>
          <w:szCs w:val="22"/>
        </w:rPr>
        <w:t xml:space="preserve"> in order to assess whether enough precautions have been taken or whether more should be done to prevent harm.</w:t>
      </w:r>
    </w:p>
    <w:p w:rsidR="00DD3FF9" w:rsidRPr="000945C4" w:rsidRDefault="00DD3FF9" w:rsidP="00F62F1B">
      <w:p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Specific considerations </w:t>
      </w:r>
      <w:r w:rsidR="000F5610">
        <w:rPr>
          <w:rFonts w:ascii="Arial" w:hAnsi="Arial" w:cs="Arial"/>
          <w:sz w:val="22"/>
          <w:szCs w:val="22"/>
        </w:rPr>
        <w:t xml:space="preserve">which should be included </w:t>
      </w:r>
      <w:r>
        <w:rPr>
          <w:rFonts w:ascii="Arial" w:hAnsi="Arial" w:cs="Arial"/>
          <w:sz w:val="22"/>
          <w:szCs w:val="22"/>
        </w:rPr>
        <w:t xml:space="preserve">as part of the risk assessment process relevant to Children </w:t>
      </w:r>
      <w:r w:rsidR="00A4136A">
        <w:rPr>
          <w:rFonts w:ascii="Arial" w:hAnsi="Arial" w:cs="Arial"/>
          <w:sz w:val="22"/>
          <w:szCs w:val="22"/>
        </w:rPr>
        <w:t>and Young Person</w:t>
      </w:r>
      <w:r w:rsidR="00BF62ED">
        <w:rPr>
          <w:rFonts w:ascii="Arial" w:hAnsi="Arial" w:cs="Arial"/>
          <w:sz w:val="22"/>
          <w:szCs w:val="22"/>
        </w:rPr>
        <w:t>s</w:t>
      </w:r>
      <w:r w:rsidR="00A41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 outlined below: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DD3FF9" w:rsidRPr="00A115DB" w:rsidRDefault="00FD0ADC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D3FF9" w:rsidRPr="00A115DB">
        <w:rPr>
          <w:rFonts w:ascii="Arial" w:hAnsi="Arial" w:cs="Arial"/>
          <w:sz w:val="22"/>
          <w:szCs w:val="22"/>
        </w:rPr>
        <w:t xml:space="preserve">aturity of the </w:t>
      </w:r>
      <w:r w:rsidR="00DD3FF9">
        <w:rPr>
          <w:rFonts w:ascii="Arial" w:hAnsi="Arial" w:cs="Arial"/>
          <w:sz w:val="22"/>
          <w:szCs w:val="22"/>
        </w:rPr>
        <w:t>C</w:t>
      </w:r>
      <w:r w:rsidR="00DD3FF9" w:rsidRPr="00A115DB">
        <w:rPr>
          <w:rFonts w:ascii="Arial" w:hAnsi="Arial" w:cs="Arial"/>
          <w:sz w:val="22"/>
          <w:szCs w:val="22"/>
        </w:rPr>
        <w:t>hild</w:t>
      </w:r>
      <w:r w:rsidR="00A4136A">
        <w:rPr>
          <w:rFonts w:ascii="Arial" w:hAnsi="Arial" w:cs="Arial"/>
          <w:sz w:val="22"/>
          <w:szCs w:val="22"/>
        </w:rPr>
        <w:t xml:space="preserve"> or Young Person</w:t>
      </w:r>
      <w:r w:rsidR="00327B54">
        <w:rPr>
          <w:rFonts w:ascii="Arial" w:hAnsi="Arial" w:cs="Arial"/>
          <w:sz w:val="22"/>
          <w:szCs w:val="22"/>
        </w:rPr>
        <w:t xml:space="preserve">.  </w:t>
      </w:r>
      <w:r w:rsidR="00327B54" w:rsidRPr="00CC577A">
        <w:rPr>
          <w:rFonts w:ascii="Arial" w:hAnsi="Arial" w:cs="Arial"/>
          <w:sz w:val="22"/>
          <w:szCs w:val="22"/>
        </w:rPr>
        <w:t>Generally, it is recognised that the younger the child, the greater the risk.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DD3FF9" w:rsidRPr="00895DBB" w:rsidRDefault="00DD3FF9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 w:rsidRPr="00895DBB">
        <w:rPr>
          <w:rFonts w:ascii="Arial" w:hAnsi="Arial" w:cs="Arial"/>
          <w:sz w:val="22"/>
          <w:szCs w:val="22"/>
        </w:rPr>
        <w:t xml:space="preserve">Lack of experience, knowledge </w:t>
      </w:r>
      <w:r w:rsidR="00327B54">
        <w:rPr>
          <w:rFonts w:ascii="Arial" w:hAnsi="Arial" w:cs="Arial"/>
          <w:sz w:val="22"/>
          <w:szCs w:val="22"/>
        </w:rPr>
        <w:t xml:space="preserve">and perception </w:t>
      </w:r>
      <w:r w:rsidRPr="00895DBB">
        <w:rPr>
          <w:rFonts w:ascii="Arial" w:hAnsi="Arial" w:cs="Arial"/>
          <w:sz w:val="22"/>
          <w:szCs w:val="22"/>
        </w:rPr>
        <w:t>of potential risks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DD3FF9" w:rsidRPr="00895DBB" w:rsidRDefault="00DD3FF9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 w:rsidRPr="00895DBB">
        <w:rPr>
          <w:rFonts w:ascii="Arial" w:hAnsi="Arial" w:cs="Arial"/>
          <w:sz w:val="22"/>
          <w:szCs w:val="22"/>
        </w:rPr>
        <w:t>The nature, duration and degrees of any exposure to physical, chemical or biological agents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DD3FF9" w:rsidRPr="00895DBB" w:rsidRDefault="00DD3FF9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 w:rsidRPr="00895DBB">
        <w:rPr>
          <w:rFonts w:ascii="Arial" w:hAnsi="Arial" w:cs="Arial"/>
          <w:sz w:val="22"/>
          <w:szCs w:val="22"/>
        </w:rPr>
        <w:lastRenderedPageBreak/>
        <w:t>The use of work equipment, what type and the way it is handled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DD3FF9" w:rsidRPr="00895DBB" w:rsidRDefault="00DD3FF9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 w:rsidRPr="00895DBB">
        <w:rPr>
          <w:rFonts w:ascii="Arial" w:hAnsi="Arial" w:cs="Arial"/>
          <w:sz w:val="22"/>
          <w:szCs w:val="22"/>
        </w:rPr>
        <w:t>The organisation of the work processes and activities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DD3FF9" w:rsidRPr="00895DBB" w:rsidRDefault="00DD3FF9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 w:rsidRPr="00895DBB">
        <w:rPr>
          <w:rFonts w:ascii="Arial" w:hAnsi="Arial" w:cs="Arial"/>
          <w:sz w:val="22"/>
          <w:szCs w:val="22"/>
        </w:rPr>
        <w:t xml:space="preserve">The extent of the health and safety training that would be provided to the </w:t>
      </w:r>
      <w:r>
        <w:rPr>
          <w:rFonts w:ascii="Arial" w:hAnsi="Arial" w:cs="Arial"/>
          <w:sz w:val="22"/>
          <w:szCs w:val="22"/>
        </w:rPr>
        <w:t>Child</w:t>
      </w:r>
      <w:r w:rsidRPr="00895DBB">
        <w:rPr>
          <w:rFonts w:ascii="Arial" w:hAnsi="Arial" w:cs="Arial"/>
          <w:sz w:val="22"/>
          <w:szCs w:val="22"/>
        </w:rPr>
        <w:t xml:space="preserve"> </w:t>
      </w:r>
      <w:r w:rsidR="00A4136A">
        <w:rPr>
          <w:rFonts w:ascii="Arial" w:hAnsi="Arial" w:cs="Arial"/>
          <w:sz w:val="22"/>
          <w:szCs w:val="22"/>
        </w:rPr>
        <w:t xml:space="preserve">or Young Person </w:t>
      </w:r>
      <w:r w:rsidRPr="00895DBB">
        <w:rPr>
          <w:rFonts w:ascii="Arial" w:hAnsi="Arial" w:cs="Arial"/>
          <w:sz w:val="22"/>
          <w:szCs w:val="22"/>
        </w:rPr>
        <w:t>concerned</w:t>
      </w:r>
    </w:p>
    <w:p w:rsidR="00E35497" w:rsidRDefault="00E35497" w:rsidP="00F62F1B">
      <w:pPr>
        <w:pStyle w:val="ListParagraph"/>
        <w:spacing w:line="360" w:lineRule="auto"/>
        <w:ind w:left="2127"/>
        <w:rPr>
          <w:rFonts w:ascii="Arial" w:hAnsi="Arial" w:cs="Arial"/>
          <w:sz w:val="22"/>
          <w:szCs w:val="22"/>
        </w:rPr>
      </w:pPr>
    </w:p>
    <w:p w:rsidR="004C0534" w:rsidRDefault="000F5610" w:rsidP="00F62F1B">
      <w:pPr>
        <w:pStyle w:val="ListParagraph"/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Whether</w:t>
      </w:r>
      <w:r w:rsidR="00DD3FF9" w:rsidRPr="004C0534">
        <w:rPr>
          <w:rFonts w:ascii="Arial" w:hAnsi="Arial" w:cs="Arial"/>
          <w:sz w:val="22"/>
          <w:szCs w:val="22"/>
        </w:rPr>
        <w:t xml:space="preserve"> the </w:t>
      </w:r>
      <w:r w:rsidR="00A4136A" w:rsidRPr="004C0534">
        <w:rPr>
          <w:rFonts w:ascii="Arial" w:hAnsi="Arial" w:cs="Arial"/>
          <w:sz w:val="22"/>
          <w:szCs w:val="22"/>
        </w:rPr>
        <w:t>programme of study/course</w:t>
      </w:r>
      <w:r w:rsidR="00DD3FF9" w:rsidRPr="004C0534">
        <w:rPr>
          <w:rFonts w:ascii="Arial" w:hAnsi="Arial" w:cs="Arial"/>
          <w:sz w:val="22"/>
          <w:szCs w:val="22"/>
        </w:rPr>
        <w:t xml:space="preserve"> include</w:t>
      </w:r>
      <w:r>
        <w:rPr>
          <w:rFonts w:ascii="Arial" w:hAnsi="Arial" w:cs="Arial"/>
          <w:sz w:val="22"/>
          <w:szCs w:val="22"/>
        </w:rPr>
        <w:t>s</w:t>
      </w:r>
      <w:r w:rsidR="00DD3FF9" w:rsidRPr="004C0534">
        <w:rPr>
          <w:rFonts w:ascii="Arial" w:hAnsi="Arial" w:cs="Arial"/>
          <w:sz w:val="22"/>
          <w:szCs w:val="22"/>
        </w:rPr>
        <w:t xml:space="preserve"> any </w:t>
      </w:r>
      <w:r>
        <w:rPr>
          <w:rFonts w:ascii="Arial" w:hAnsi="Arial" w:cs="Arial"/>
          <w:sz w:val="22"/>
          <w:szCs w:val="22"/>
        </w:rPr>
        <w:t>of the following activities which may be subject to further assessment</w:t>
      </w:r>
      <w:r w:rsidR="00DD3FF9" w:rsidRPr="004C0534">
        <w:rPr>
          <w:rFonts w:ascii="Arial" w:hAnsi="Arial" w:cs="Arial"/>
          <w:sz w:val="22"/>
          <w:szCs w:val="22"/>
        </w:rPr>
        <w:t>:</w:t>
      </w:r>
    </w:p>
    <w:p w:rsidR="00E35497" w:rsidRDefault="00E35497" w:rsidP="00F62F1B">
      <w:pPr>
        <w:pStyle w:val="ListParagraph"/>
        <w:tabs>
          <w:tab w:val="left" w:pos="3240"/>
        </w:tabs>
        <w:spacing w:line="360" w:lineRule="auto"/>
        <w:ind w:left="2790"/>
        <w:rPr>
          <w:rFonts w:ascii="Arial" w:hAnsi="Arial" w:cs="Arial"/>
          <w:sz w:val="22"/>
          <w:szCs w:val="22"/>
        </w:rPr>
      </w:pPr>
    </w:p>
    <w:p w:rsidR="00DD3FF9" w:rsidRPr="00895DBB" w:rsidRDefault="00893154" w:rsidP="00F62F1B">
      <w:pPr>
        <w:pStyle w:val="ListParagraph"/>
        <w:numPr>
          <w:ilvl w:val="3"/>
          <w:numId w:val="2"/>
        </w:numPr>
        <w:tabs>
          <w:tab w:val="left" w:pos="3240"/>
        </w:tabs>
        <w:spacing w:line="360" w:lineRule="auto"/>
        <w:ind w:left="27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Activities</w:t>
      </w:r>
      <w:r w:rsidR="00DD3FF9" w:rsidRPr="00895DBB">
        <w:rPr>
          <w:rFonts w:ascii="Arial" w:hAnsi="Arial" w:cs="Arial"/>
          <w:sz w:val="22"/>
          <w:szCs w:val="22"/>
        </w:rPr>
        <w:t xml:space="preserve"> beyond physical or </w:t>
      </w:r>
      <w:r w:rsidR="004C0534">
        <w:rPr>
          <w:rFonts w:ascii="Arial" w:hAnsi="Arial" w:cs="Arial"/>
          <w:sz w:val="22"/>
          <w:szCs w:val="22"/>
        </w:rPr>
        <w:t>psychological</w:t>
      </w:r>
      <w:r w:rsidR="00DD3FF9" w:rsidRPr="00895DBB">
        <w:rPr>
          <w:rFonts w:ascii="Arial" w:hAnsi="Arial" w:cs="Arial"/>
          <w:sz w:val="22"/>
          <w:szCs w:val="22"/>
        </w:rPr>
        <w:t xml:space="preserve"> ability</w:t>
      </w:r>
    </w:p>
    <w:p w:rsidR="00E35497" w:rsidRDefault="00E35497" w:rsidP="00F62F1B">
      <w:pPr>
        <w:pStyle w:val="ListParagraph"/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</w:p>
    <w:p w:rsidR="00DD3FF9" w:rsidRPr="00895DBB" w:rsidRDefault="00893154" w:rsidP="00F62F1B">
      <w:pPr>
        <w:pStyle w:val="ListParagraph"/>
        <w:numPr>
          <w:ilvl w:val="3"/>
          <w:numId w:val="2"/>
        </w:numPr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Activities</w:t>
      </w:r>
      <w:r w:rsidR="00DD3FF9" w:rsidRPr="00895DBB">
        <w:rPr>
          <w:rFonts w:ascii="Arial" w:hAnsi="Arial" w:cs="Arial"/>
          <w:sz w:val="22"/>
          <w:szCs w:val="22"/>
        </w:rPr>
        <w:t xml:space="preserve"> at night during the restricted period</w:t>
      </w:r>
    </w:p>
    <w:p w:rsidR="00E35497" w:rsidRDefault="00E35497" w:rsidP="00F62F1B">
      <w:pPr>
        <w:pStyle w:val="ListParagraph"/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</w:p>
    <w:p w:rsidR="00BD4971" w:rsidRDefault="00893154" w:rsidP="00F62F1B">
      <w:pPr>
        <w:pStyle w:val="ListParagraph"/>
        <w:numPr>
          <w:ilvl w:val="3"/>
          <w:numId w:val="2"/>
        </w:numPr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  <w:r w:rsidRPr="00BD4971">
        <w:rPr>
          <w:rFonts w:ascii="Arial" w:hAnsi="Arial" w:cs="Arial"/>
          <w:sz w:val="22"/>
          <w:szCs w:val="22"/>
        </w:rPr>
        <w:t>Activities involving e</w:t>
      </w:r>
      <w:r w:rsidR="00BD4971" w:rsidRPr="00BD4971">
        <w:rPr>
          <w:rFonts w:ascii="Arial" w:hAnsi="Arial" w:cs="Arial"/>
          <w:sz w:val="22"/>
          <w:szCs w:val="22"/>
        </w:rPr>
        <w:t>xposure to radiation.</w:t>
      </w:r>
      <w:r w:rsidR="00DD3FF9" w:rsidRPr="00BD4971">
        <w:rPr>
          <w:rFonts w:ascii="Arial" w:hAnsi="Arial" w:cs="Arial"/>
          <w:sz w:val="22"/>
          <w:szCs w:val="22"/>
        </w:rPr>
        <w:t xml:space="preserve"> </w:t>
      </w:r>
    </w:p>
    <w:p w:rsidR="00E35497" w:rsidRDefault="00E35497" w:rsidP="00F62F1B">
      <w:pPr>
        <w:pStyle w:val="ListParagraph"/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</w:p>
    <w:p w:rsidR="00DD3FF9" w:rsidRPr="00BD4971" w:rsidRDefault="00893154" w:rsidP="00F62F1B">
      <w:pPr>
        <w:pStyle w:val="ListParagraph"/>
        <w:numPr>
          <w:ilvl w:val="3"/>
          <w:numId w:val="2"/>
        </w:numPr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  <w:r w:rsidRPr="00BD4971">
        <w:rPr>
          <w:rFonts w:ascii="Arial" w:hAnsi="Arial" w:cs="Arial"/>
          <w:sz w:val="22"/>
          <w:szCs w:val="22"/>
        </w:rPr>
        <w:t>Activities involving exposure</w:t>
      </w:r>
      <w:r w:rsidR="00DD3FF9" w:rsidRPr="00BD4971">
        <w:rPr>
          <w:rFonts w:ascii="Arial" w:hAnsi="Arial" w:cs="Arial"/>
          <w:sz w:val="22"/>
          <w:szCs w:val="22"/>
        </w:rPr>
        <w:t xml:space="preserve"> to extremes of </w:t>
      </w:r>
      <w:r w:rsidRPr="00BD4971">
        <w:rPr>
          <w:rFonts w:ascii="Arial" w:hAnsi="Arial" w:cs="Arial"/>
          <w:sz w:val="22"/>
          <w:szCs w:val="22"/>
        </w:rPr>
        <w:tab/>
      </w:r>
      <w:r w:rsidR="00DD3FF9" w:rsidRPr="00BD4971">
        <w:rPr>
          <w:rFonts w:ascii="Arial" w:hAnsi="Arial" w:cs="Arial"/>
          <w:sz w:val="22"/>
          <w:szCs w:val="22"/>
        </w:rPr>
        <w:t>temperature</w:t>
      </w:r>
    </w:p>
    <w:p w:rsidR="00E35497" w:rsidRDefault="00E35497" w:rsidP="00F62F1B">
      <w:pPr>
        <w:pStyle w:val="ListParagraph"/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</w:p>
    <w:p w:rsidR="00DD3FF9" w:rsidRPr="00895DBB" w:rsidRDefault="00893154" w:rsidP="00F62F1B">
      <w:pPr>
        <w:pStyle w:val="ListParagraph"/>
        <w:numPr>
          <w:ilvl w:val="3"/>
          <w:numId w:val="2"/>
        </w:numPr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Activities involving e</w:t>
      </w:r>
      <w:r w:rsidRPr="00895DBB">
        <w:rPr>
          <w:rFonts w:ascii="Arial" w:hAnsi="Arial" w:cs="Arial"/>
          <w:sz w:val="22"/>
          <w:szCs w:val="22"/>
        </w:rPr>
        <w:t>xposure</w:t>
      </w:r>
      <w:r w:rsidR="00DD3FF9" w:rsidRPr="00895DBB">
        <w:rPr>
          <w:rFonts w:ascii="Arial" w:hAnsi="Arial" w:cs="Arial"/>
          <w:sz w:val="22"/>
          <w:szCs w:val="22"/>
        </w:rPr>
        <w:t xml:space="preserve"> to vibrations</w:t>
      </w:r>
    </w:p>
    <w:p w:rsidR="00E35497" w:rsidRDefault="00E35497" w:rsidP="00F62F1B">
      <w:pPr>
        <w:pStyle w:val="ListParagraph"/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</w:p>
    <w:p w:rsidR="00DD3FF9" w:rsidRDefault="00893154" w:rsidP="00F62F1B">
      <w:pPr>
        <w:pStyle w:val="ListParagraph"/>
        <w:numPr>
          <w:ilvl w:val="3"/>
          <w:numId w:val="2"/>
        </w:numPr>
        <w:tabs>
          <w:tab w:val="left" w:pos="3240"/>
        </w:tabs>
        <w:spacing w:line="360" w:lineRule="auto"/>
        <w:ind w:left="28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Activities involving e</w:t>
      </w:r>
      <w:r w:rsidRPr="00895DBB">
        <w:rPr>
          <w:rFonts w:ascii="Arial" w:hAnsi="Arial" w:cs="Arial"/>
          <w:sz w:val="22"/>
          <w:szCs w:val="22"/>
        </w:rPr>
        <w:t>xposure</w:t>
      </w:r>
      <w:r w:rsidR="00DD3FF9" w:rsidRPr="00895DBB">
        <w:rPr>
          <w:rFonts w:ascii="Arial" w:hAnsi="Arial" w:cs="Arial"/>
          <w:sz w:val="22"/>
          <w:szCs w:val="22"/>
        </w:rPr>
        <w:t xml:space="preserve"> to noise</w:t>
      </w:r>
    </w:p>
    <w:p w:rsidR="00DD3FF9" w:rsidRDefault="00DD3FF9" w:rsidP="00F62F1B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0F5610" w:rsidRDefault="000F5610" w:rsidP="00F62F1B">
      <w:pPr>
        <w:pStyle w:val="ListParagraph"/>
        <w:numPr>
          <w:ilvl w:val="1"/>
          <w:numId w:val="2"/>
        </w:num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Health and Safety Manager will be able to provide further details on the above hazards.</w:t>
      </w:r>
    </w:p>
    <w:p w:rsidR="000F5610" w:rsidRDefault="000F5610" w:rsidP="00F62F1B">
      <w:pPr>
        <w:pStyle w:val="ListParagraph"/>
        <w:spacing w:line="360" w:lineRule="auto"/>
        <w:ind w:left="851"/>
        <w:rPr>
          <w:rFonts w:ascii="Arial" w:hAnsi="Arial" w:cs="Arial"/>
          <w:sz w:val="22"/>
          <w:szCs w:val="22"/>
        </w:rPr>
      </w:pPr>
    </w:p>
    <w:p w:rsidR="004C0534" w:rsidRDefault="004C0534" w:rsidP="00F62F1B">
      <w:pPr>
        <w:pStyle w:val="ListParagraph"/>
        <w:numPr>
          <w:ilvl w:val="1"/>
          <w:numId w:val="2"/>
        </w:num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Child must never carry out work involving the </w:t>
      </w:r>
      <w:r w:rsidR="000F5610">
        <w:rPr>
          <w:rFonts w:ascii="Arial" w:hAnsi="Arial" w:cs="Arial"/>
          <w:sz w:val="22"/>
          <w:szCs w:val="22"/>
        </w:rPr>
        <w:t>hazards</w:t>
      </w:r>
      <w:r>
        <w:rPr>
          <w:rFonts w:ascii="Arial" w:hAnsi="Arial" w:cs="Arial"/>
          <w:sz w:val="22"/>
          <w:szCs w:val="22"/>
        </w:rPr>
        <w:t xml:space="preserve"> at </w:t>
      </w:r>
      <w:r w:rsidR="00E35497">
        <w:rPr>
          <w:rFonts w:ascii="Arial" w:hAnsi="Arial" w:cs="Arial"/>
          <w:sz w:val="22"/>
          <w:szCs w:val="22"/>
        </w:rPr>
        <w:t>3.3.7</w:t>
      </w:r>
      <w:r>
        <w:rPr>
          <w:rFonts w:ascii="Arial" w:hAnsi="Arial" w:cs="Arial"/>
          <w:sz w:val="22"/>
          <w:szCs w:val="22"/>
        </w:rPr>
        <w:t xml:space="preserve"> above</w:t>
      </w:r>
      <w:r w:rsidR="000F5610">
        <w:rPr>
          <w:rFonts w:ascii="Arial" w:hAnsi="Arial" w:cs="Arial"/>
          <w:sz w:val="22"/>
          <w:szCs w:val="22"/>
        </w:rPr>
        <w:t xml:space="preserve"> without a risk assessment being completed and the risks being suitably controlled</w:t>
      </w:r>
      <w:r>
        <w:rPr>
          <w:rFonts w:ascii="Arial" w:hAnsi="Arial" w:cs="Arial"/>
          <w:sz w:val="22"/>
          <w:szCs w:val="22"/>
        </w:rPr>
        <w:t xml:space="preserve">.  A Young Person who is not a Child, can carry out such </w:t>
      </w:r>
      <w:r w:rsidR="0071765A">
        <w:rPr>
          <w:rFonts w:ascii="Arial" w:hAnsi="Arial" w:cs="Arial"/>
          <w:sz w:val="22"/>
          <w:szCs w:val="22"/>
        </w:rPr>
        <w:t xml:space="preserve">activities if they are </w:t>
      </w:r>
      <w:r>
        <w:rPr>
          <w:rFonts w:ascii="Arial" w:hAnsi="Arial" w:cs="Arial"/>
          <w:sz w:val="22"/>
          <w:szCs w:val="22"/>
        </w:rPr>
        <w:t xml:space="preserve">necessary for their training, </w:t>
      </w:r>
      <w:r w:rsidR="0071765A">
        <w:rPr>
          <w:rFonts w:ascii="Arial" w:hAnsi="Arial" w:cs="Arial"/>
          <w:sz w:val="22"/>
          <w:szCs w:val="22"/>
        </w:rPr>
        <w:t>they are</w:t>
      </w:r>
      <w:r>
        <w:rPr>
          <w:rFonts w:ascii="Arial" w:hAnsi="Arial" w:cs="Arial"/>
          <w:sz w:val="22"/>
          <w:szCs w:val="22"/>
        </w:rPr>
        <w:t xml:space="preserve"> properly supervised by a competent person and the risks are reduced to the lowest level so far as reasonably practicable.</w:t>
      </w:r>
    </w:p>
    <w:p w:rsidR="004C0534" w:rsidRDefault="004C0534" w:rsidP="00F62F1B">
      <w:pPr>
        <w:pStyle w:val="ListParagraph"/>
        <w:spacing w:line="360" w:lineRule="auto"/>
        <w:ind w:left="792"/>
        <w:rPr>
          <w:rFonts w:ascii="Arial" w:hAnsi="Arial" w:cs="Arial"/>
          <w:sz w:val="22"/>
          <w:szCs w:val="22"/>
        </w:rPr>
      </w:pPr>
    </w:p>
    <w:p w:rsidR="004C0534" w:rsidRPr="00A66EDD" w:rsidRDefault="004C0534" w:rsidP="00F62F1B">
      <w:pPr>
        <w:pStyle w:val="ListParagraph"/>
        <w:numPr>
          <w:ilvl w:val="1"/>
          <w:numId w:val="2"/>
        </w:numPr>
        <w:spacing w:line="360" w:lineRule="auto"/>
        <w:ind w:hanging="5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Parents/guardians of any Child must be informed of the risks and the control measures put in place to control them.</w:t>
      </w:r>
    </w:p>
    <w:p w:rsidR="004C0534" w:rsidRDefault="004C0534" w:rsidP="00F62F1B">
      <w:pPr>
        <w:pStyle w:val="ListParagraph"/>
        <w:spacing w:line="360" w:lineRule="auto"/>
        <w:ind w:left="851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7B5D6B">
        <w:rPr>
          <w:rFonts w:ascii="Arial" w:hAnsi="Arial" w:cs="Arial"/>
          <w:sz w:val="22"/>
          <w:szCs w:val="22"/>
        </w:rPr>
        <w:lastRenderedPageBreak/>
        <w:t>Generic</w:t>
      </w:r>
      <w:r w:rsidRPr="007B5D6B">
        <w:rPr>
          <w:rFonts w:ascii="Arial" w:hAnsi="Arial" w:cs="Arial"/>
          <w:b/>
          <w:sz w:val="22"/>
          <w:szCs w:val="22"/>
        </w:rPr>
        <w:t xml:space="preserve"> </w:t>
      </w:r>
      <w:r w:rsidRPr="007B5D6B">
        <w:rPr>
          <w:rFonts w:ascii="Arial" w:hAnsi="Arial" w:cs="Arial"/>
          <w:sz w:val="22"/>
          <w:szCs w:val="22"/>
        </w:rPr>
        <w:t>risk assessments have to be tailored to each individual as the respective risks will vary depending on a number of factors to be identified and may be variable e.g.</w:t>
      </w:r>
      <w:r>
        <w:rPr>
          <w:rFonts w:ascii="Arial" w:hAnsi="Arial" w:cs="Arial"/>
          <w:sz w:val="22"/>
          <w:szCs w:val="22"/>
        </w:rPr>
        <w:t xml:space="preserve"> the age of the </w:t>
      </w:r>
      <w:r w:rsidR="004C0534">
        <w:rPr>
          <w:rFonts w:ascii="Arial" w:hAnsi="Arial" w:cs="Arial"/>
          <w:sz w:val="22"/>
          <w:szCs w:val="22"/>
        </w:rPr>
        <w:t>Applicant</w:t>
      </w:r>
      <w:r w:rsidRPr="007B5D6B">
        <w:rPr>
          <w:rFonts w:ascii="Arial" w:hAnsi="Arial" w:cs="Arial"/>
          <w:sz w:val="22"/>
          <w:szCs w:val="22"/>
        </w:rPr>
        <w:t>.</w:t>
      </w:r>
    </w:p>
    <w:p w:rsidR="00E35497" w:rsidRDefault="00E35497" w:rsidP="00F62F1B">
      <w:pPr>
        <w:spacing w:line="360" w:lineRule="auto"/>
        <w:ind w:firstLine="120"/>
      </w:pPr>
    </w:p>
    <w:p w:rsidR="00DD3FF9" w:rsidRPr="0071765A" w:rsidRDefault="00DD3FF9" w:rsidP="00F62F1B">
      <w:pPr>
        <w:pStyle w:val="ListParagraph"/>
        <w:numPr>
          <w:ilvl w:val="0"/>
          <w:numId w:val="2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  <w:r w:rsidRPr="0071765A">
        <w:rPr>
          <w:rFonts w:ascii="Arial" w:hAnsi="Arial" w:cs="Arial"/>
          <w:b/>
          <w:sz w:val="22"/>
          <w:szCs w:val="22"/>
        </w:rPr>
        <w:t>Accommodation</w:t>
      </w:r>
    </w:p>
    <w:p w:rsidR="00DD3FF9" w:rsidRDefault="00DD3FF9" w:rsidP="00F62F1B">
      <w:pPr>
        <w:pStyle w:val="ListParagraph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7B5D6B">
        <w:rPr>
          <w:rFonts w:ascii="Arial" w:hAnsi="Arial" w:cs="Arial"/>
          <w:sz w:val="22"/>
          <w:szCs w:val="22"/>
        </w:rPr>
        <w:t xml:space="preserve">Any residential accommodation or teaching space to be utilised in the </w:t>
      </w:r>
      <w:r w:rsidR="004C0534">
        <w:rPr>
          <w:rFonts w:ascii="Arial" w:hAnsi="Arial" w:cs="Arial"/>
          <w:sz w:val="22"/>
          <w:szCs w:val="22"/>
        </w:rPr>
        <w:t>programme of study/course</w:t>
      </w:r>
      <w:r w:rsidRPr="007B5D6B">
        <w:rPr>
          <w:rFonts w:ascii="Arial" w:hAnsi="Arial" w:cs="Arial"/>
          <w:sz w:val="22"/>
          <w:szCs w:val="22"/>
        </w:rPr>
        <w:t xml:space="preserve"> should be Risk Assessed in accordance with paragraph</w:t>
      </w:r>
      <w:r w:rsidR="00E35497">
        <w:rPr>
          <w:rFonts w:ascii="Arial" w:hAnsi="Arial" w:cs="Arial"/>
          <w:sz w:val="22"/>
          <w:szCs w:val="22"/>
        </w:rPr>
        <w:t>s 4 and 7</w:t>
      </w:r>
      <w:r w:rsidRPr="007B5D6B">
        <w:rPr>
          <w:rFonts w:ascii="Arial" w:hAnsi="Arial" w:cs="Arial"/>
          <w:sz w:val="22"/>
          <w:szCs w:val="22"/>
        </w:rPr>
        <w:t xml:space="preserve"> of the </w:t>
      </w:r>
      <w:r w:rsidR="000C4ECB">
        <w:rPr>
          <w:rFonts w:ascii="Arial" w:hAnsi="Arial" w:cs="Arial"/>
          <w:sz w:val="22"/>
          <w:szCs w:val="22"/>
        </w:rPr>
        <w:t>Guidance</w:t>
      </w:r>
      <w:r w:rsidRPr="007B5D6B">
        <w:rPr>
          <w:rFonts w:ascii="Arial" w:hAnsi="Arial" w:cs="Arial"/>
          <w:sz w:val="22"/>
          <w:szCs w:val="22"/>
        </w:rPr>
        <w:t xml:space="preserve"> as applicable.  Reference should be made to any general Risk Assessment carried out by Residences in relation to that residential accommodation or teaching space; including adherence to general safety policies e.g. fire safety and evacuation procedures</w:t>
      </w:r>
      <w:r>
        <w:rPr>
          <w:rFonts w:ascii="Arial" w:hAnsi="Arial" w:cs="Arial"/>
          <w:sz w:val="22"/>
          <w:szCs w:val="22"/>
        </w:rPr>
        <w:t>.</w:t>
      </w:r>
    </w:p>
    <w:p w:rsidR="00DD3FF9" w:rsidRPr="00CC577A" w:rsidRDefault="00DD3FF9" w:rsidP="00F62F1B">
      <w:pPr>
        <w:spacing w:line="360" w:lineRule="auto"/>
      </w:pPr>
    </w:p>
    <w:p w:rsidR="00DD3FF9" w:rsidRPr="0071765A" w:rsidRDefault="00DD3FF9" w:rsidP="00F62F1B">
      <w:pPr>
        <w:pStyle w:val="ListParagraph"/>
        <w:numPr>
          <w:ilvl w:val="0"/>
          <w:numId w:val="2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  <w:r w:rsidRPr="0071765A">
        <w:rPr>
          <w:rFonts w:ascii="Arial" w:hAnsi="Arial" w:cs="Arial"/>
          <w:b/>
          <w:sz w:val="22"/>
          <w:szCs w:val="22"/>
        </w:rPr>
        <w:t>Detailed guidance on Risk Assessment:-</w:t>
      </w:r>
    </w:p>
    <w:p w:rsidR="00DD3FF9" w:rsidRDefault="00DD3FF9" w:rsidP="00F62F1B">
      <w:pPr>
        <w:pStyle w:val="ListParagraph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52D12" w:rsidRDefault="00652D12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7B5D6B">
        <w:rPr>
          <w:rFonts w:ascii="Arial" w:hAnsi="Arial" w:cs="Arial"/>
          <w:sz w:val="22"/>
          <w:szCs w:val="22"/>
        </w:rPr>
        <w:t xml:space="preserve">Risk Assessment Guidance:  </w:t>
      </w:r>
    </w:p>
    <w:p w:rsidR="00652D12" w:rsidRDefault="00A148AA" w:rsidP="00F62F1B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hyperlink r:id="rId11" w:history="1">
        <w:r w:rsidR="00652D12" w:rsidRPr="00A66EDD">
          <w:rPr>
            <w:rStyle w:val="Hyperlink"/>
            <w:rFonts w:ascii="Arial" w:eastAsiaTheme="majorEastAsia" w:hAnsi="Arial" w:cs="Arial"/>
            <w:sz w:val="22"/>
            <w:szCs w:val="22"/>
          </w:rPr>
          <w:t>http://www.leeds.ac.uk/safety/risk/index.htm</w:t>
        </w:r>
      </w:hyperlink>
      <w:r w:rsidR="00652D12" w:rsidRPr="00A66EDD">
        <w:rPr>
          <w:rFonts w:ascii="Arial" w:hAnsi="Arial" w:cs="Arial"/>
          <w:sz w:val="22"/>
          <w:szCs w:val="22"/>
        </w:rPr>
        <w:t xml:space="preserve"> </w:t>
      </w:r>
    </w:p>
    <w:p w:rsidR="00652D12" w:rsidRPr="00A66EDD" w:rsidRDefault="00652D12" w:rsidP="00F62F1B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7B5D6B">
        <w:rPr>
          <w:rFonts w:ascii="Arial" w:hAnsi="Arial" w:cs="Arial"/>
          <w:sz w:val="22"/>
          <w:szCs w:val="22"/>
        </w:rPr>
        <w:t xml:space="preserve">HSE guidance on young people:  </w:t>
      </w:r>
    </w:p>
    <w:p w:rsidR="00DD3FF9" w:rsidRPr="007922B5" w:rsidRDefault="00A148AA" w:rsidP="00F62F1B">
      <w:pPr>
        <w:pStyle w:val="ListParagraph"/>
        <w:spacing w:line="360" w:lineRule="auto"/>
        <w:ind w:left="1418"/>
        <w:rPr>
          <w:rFonts w:ascii="Arial" w:hAnsi="Arial" w:cs="Arial"/>
          <w:sz w:val="22"/>
          <w:szCs w:val="22"/>
        </w:rPr>
      </w:pPr>
      <w:hyperlink r:id="rId12" w:history="1">
        <w:r w:rsidR="00DD3FF9" w:rsidRPr="007922B5">
          <w:rPr>
            <w:rStyle w:val="Hyperlink"/>
            <w:rFonts w:ascii="Arial" w:eastAsiaTheme="majorEastAsia" w:hAnsi="Arial" w:cs="Arial"/>
            <w:sz w:val="22"/>
            <w:szCs w:val="22"/>
          </w:rPr>
          <w:t>http://hse.gov.uk/youngpeople/law/index.htm</w:t>
        </w:r>
      </w:hyperlink>
    </w:p>
    <w:p w:rsidR="00DD3FF9" w:rsidRPr="007B5D6B" w:rsidRDefault="00DD3FF9" w:rsidP="00F62F1B">
      <w:pPr>
        <w:pStyle w:val="ListParagraph"/>
        <w:spacing w:line="360" w:lineRule="auto"/>
        <w:ind w:left="1800"/>
        <w:rPr>
          <w:rFonts w:ascii="Arial" w:hAnsi="Arial" w:cs="Arial"/>
          <w:sz w:val="22"/>
          <w:szCs w:val="22"/>
        </w:rPr>
      </w:pPr>
    </w:p>
    <w:p w:rsidR="00DD3FF9" w:rsidRPr="007B5D6B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7B5D6B">
        <w:rPr>
          <w:rFonts w:ascii="Arial" w:hAnsi="Arial" w:cs="Arial"/>
          <w:sz w:val="22"/>
          <w:szCs w:val="22"/>
        </w:rPr>
        <w:t xml:space="preserve">Five steps quick guide: </w:t>
      </w:r>
    </w:p>
    <w:p w:rsidR="00DD3FF9" w:rsidRPr="00A66EDD" w:rsidRDefault="00DD3FF9" w:rsidP="00F62F1B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66EDD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A66EDD">
          <w:rPr>
            <w:rStyle w:val="Hyperlink"/>
            <w:rFonts w:ascii="Arial" w:eastAsiaTheme="majorEastAsia" w:hAnsi="Arial" w:cs="Arial"/>
            <w:sz w:val="22"/>
            <w:szCs w:val="22"/>
          </w:rPr>
          <w:t>http://www.leeds.ac.uk/safety/five_steps.htm</w:t>
        </w:r>
      </w:hyperlink>
      <w:r w:rsidRPr="00A66EDD">
        <w:rPr>
          <w:rFonts w:ascii="Arial" w:hAnsi="Arial" w:cs="Arial"/>
          <w:sz w:val="22"/>
          <w:szCs w:val="22"/>
        </w:rPr>
        <w:t xml:space="preserve">   </w:t>
      </w:r>
    </w:p>
    <w:p w:rsidR="00DD3FF9" w:rsidRPr="007B5D6B" w:rsidRDefault="00DD3FF9" w:rsidP="00F62F1B">
      <w:pPr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:rsidR="00652D12" w:rsidRPr="00D96906" w:rsidRDefault="00652D12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D96906">
        <w:rPr>
          <w:rFonts w:ascii="Arial" w:hAnsi="Arial" w:cs="Arial"/>
          <w:sz w:val="22"/>
          <w:szCs w:val="22"/>
        </w:rPr>
        <w:t xml:space="preserve">HR policies </w:t>
      </w:r>
    </w:p>
    <w:p w:rsidR="00652D12" w:rsidRPr="007922B5" w:rsidRDefault="00A148AA" w:rsidP="00F62F1B">
      <w:pPr>
        <w:pStyle w:val="ListParagraph"/>
        <w:spacing w:line="360" w:lineRule="auto"/>
        <w:ind w:left="1418"/>
        <w:rPr>
          <w:rFonts w:ascii="Arial" w:hAnsi="Arial" w:cs="Arial"/>
          <w:sz w:val="22"/>
          <w:szCs w:val="22"/>
        </w:rPr>
      </w:pPr>
      <w:hyperlink r:id="rId14" w:history="1">
        <w:r w:rsidR="00652D12" w:rsidRPr="007922B5">
          <w:rPr>
            <w:rStyle w:val="Hyperlink"/>
            <w:rFonts w:ascii="Arial" w:hAnsi="Arial" w:cs="Arial"/>
            <w:sz w:val="22"/>
            <w:szCs w:val="22"/>
          </w:rPr>
          <w:t>http://hr.leeds.ac.uk/homepage/4/policies</w:t>
        </w:r>
      </w:hyperlink>
    </w:p>
    <w:p w:rsidR="00DD3FF9" w:rsidRDefault="00DD3FF9" w:rsidP="00F62F1B">
      <w:pPr>
        <w:spacing w:line="360" w:lineRule="auto"/>
        <w:ind w:left="1080" w:firstLine="360"/>
        <w:rPr>
          <w:rFonts w:ascii="Arial" w:hAnsi="Arial" w:cs="Arial"/>
          <w:color w:val="1F497D"/>
          <w:sz w:val="22"/>
          <w:szCs w:val="22"/>
        </w:rPr>
      </w:pPr>
    </w:p>
    <w:p w:rsidR="00DD3FF9" w:rsidRDefault="00DD3FF9" w:rsidP="00F62F1B">
      <w:pPr>
        <w:pStyle w:val="ListParagraph"/>
        <w:numPr>
          <w:ilvl w:val="0"/>
          <w:numId w:val="2"/>
        </w:num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  <w:r w:rsidRPr="0071765A">
        <w:rPr>
          <w:rFonts w:ascii="Arial" w:hAnsi="Arial" w:cs="Arial"/>
          <w:b/>
          <w:sz w:val="22"/>
          <w:szCs w:val="22"/>
        </w:rPr>
        <w:t>Further information and advice:</w:t>
      </w:r>
    </w:p>
    <w:p w:rsidR="00E35497" w:rsidRPr="0071765A" w:rsidRDefault="00E35497" w:rsidP="00F62F1B">
      <w:pPr>
        <w:pStyle w:val="ListParagraph"/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</w:p>
    <w:p w:rsidR="00DD3FF9" w:rsidRDefault="00DD3FF9" w:rsidP="00F62F1B">
      <w:pPr>
        <w:pStyle w:val="ListParagraph"/>
        <w:numPr>
          <w:ilvl w:val="1"/>
          <w:numId w:val="2"/>
        </w:numPr>
        <w:spacing w:line="360" w:lineRule="auto"/>
        <w:ind w:left="1418" w:hanging="709"/>
        <w:rPr>
          <w:rFonts w:ascii="Arial" w:hAnsi="Arial" w:cs="Arial"/>
          <w:sz w:val="22"/>
          <w:szCs w:val="22"/>
        </w:rPr>
      </w:pPr>
      <w:r w:rsidRPr="00D96906">
        <w:rPr>
          <w:rFonts w:ascii="Arial" w:hAnsi="Arial" w:cs="Arial"/>
          <w:sz w:val="22"/>
          <w:szCs w:val="22"/>
        </w:rPr>
        <w:t>Health and safety managers can</w:t>
      </w:r>
      <w:r>
        <w:rPr>
          <w:rFonts w:ascii="Arial" w:hAnsi="Arial" w:cs="Arial"/>
          <w:sz w:val="22"/>
          <w:szCs w:val="22"/>
        </w:rPr>
        <w:t xml:space="preserve"> provide support in the following ways</w:t>
      </w:r>
      <w:r w:rsidRPr="00D96906">
        <w:rPr>
          <w:rFonts w:ascii="Arial" w:hAnsi="Arial" w:cs="Arial"/>
          <w:sz w:val="22"/>
          <w:szCs w:val="22"/>
        </w:rPr>
        <w:t>:</w:t>
      </w:r>
    </w:p>
    <w:p w:rsidR="00DD3FF9" w:rsidRPr="00D96906" w:rsidRDefault="00DD3FF9" w:rsidP="00F62F1B">
      <w:pPr>
        <w:pStyle w:val="ListParagraph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 you with the interpretation of the health and safety aspects of the procedure;</w:t>
      </w:r>
    </w:p>
    <w:p w:rsidR="00DD3FF9" w:rsidRDefault="00DD3FF9" w:rsidP="00F62F1B">
      <w:p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in conjunction with the risk assessor to produce a suitable risk assessment;</w:t>
      </w:r>
    </w:p>
    <w:p w:rsidR="00DD3FF9" w:rsidRDefault="00DD3FF9" w:rsidP="00F62F1B">
      <w:p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clarification and further detail on the application of the health and safety aspects of the </w:t>
      </w:r>
      <w:r w:rsidR="000C4ECB">
        <w:rPr>
          <w:rFonts w:ascii="Arial" w:hAnsi="Arial" w:cs="Arial"/>
          <w:sz w:val="22"/>
          <w:szCs w:val="22"/>
        </w:rPr>
        <w:t>Guidance</w:t>
      </w:r>
      <w:r>
        <w:rPr>
          <w:rFonts w:ascii="Arial" w:hAnsi="Arial" w:cs="Arial"/>
          <w:sz w:val="22"/>
          <w:szCs w:val="22"/>
        </w:rPr>
        <w:t>;</w:t>
      </w:r>
    </w:p>
    <w:p w:rsidR="00DD3FF9" w:rsidRDefault="00DD3FF9" w:rsidP="00F62F1B">
      <w:p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</w:p>
    <w:p w:rsidR="00DD3FF9" w:rsidRDefault="00DD3FF9" w:rsidP="00F62F1B">
      <w:pPr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 the performance of workplaces in relation to the implementation of the </w:t>
      </w:r>
      <w:r w:rsidR="000C4ECB">
        <w:rPr>
          <w:rFonts w:ascii="Arial" w:hAnsi="Arial" w:cs="Arial"/>
          <w:sz w:val="22"/>
          <w:szCs w:val="22"/>
        </w:rPr>
        <w:t>Guidance</w:t>
      </w:r>
      <w:r>
        <w:rPr>
          <w:rFonts w:ascii="Arial" w:hAnsi="Arial" w:cs="Arial"/>
          <w:sz w:val="22"/>
          <w:szCs w:val="22"/>
        </w:rPr>
        <w:t xml:space="preserve"> and provide appropriate feedback;</w:t>
      </w:r>
    </w:p>
    <w:p w:rsidR="00DD3FF9" w:rsidRPr="00A66EDD" w:rsidRDefault="00DD3FF9" w:rsidP="00F62F1B">
      <w:pPr>
        <w:spacing w:line="360" w:lineRule="auto"/>
        <w:ind w:left="2127" w:hanging="709"/>
        <w:rPr>
          <w:rFonts w:ascii="Arial" w:hAnsi="Arial" w:cs="Arial"/>
          <w:b/>
          <w:sz w:val="22"/>
          <w:szCs w:val="22"/>
        </w:rPr>
      </w:pPr>
    </w:p>
    <w:p w:rsidR="00DD3FF9" w:rsidRPr="00D96906" w:rsidRDefault="00DD3FF9" w:rsidP="00F62F1B">
      <w:pPr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b/>
          <w:sz w:val="22"/>
          <w:szCs w:val="22"/>
        </w:rPr>
      </w:pPr>
      <w:r w:rsidRPr="00D96906">
        <w:rPr>
          <w:rFonts w:ascii="Arial" w:hAnsi="Arial" w:cs="Arial"/>
          <w:sz w:val="22"/>
          <w:szCs w:val="22"/>
        </w:rPr>
        <w:t>Provide any further information or training that may be relevant following consultation with you.</w:t>
      </w:r>
    </w:p>
    <w:p w:rsidR="00DD3FF9" w:rsidRPr="009717D8" w:rsidRDefault="00DD3FF9" w:rsidP="00F62F1B">
      <w:pPr>
        <w:spacing w:line="360" w:lineRule="auto"/>
        <w:ind w:left="2127" w:hanging="709"/>
        <w:rPr>
          <w:rFonts w:ascii="Arial" w:hAnsi="Arial" w:cs="Arial"/>
          <w:b/>
          <w:sz w:val="22"/>
          <w:szCs w:val="22"/>
        </w:rPr>
      </w:pPr>
    </w:p>
    <w:p w:rsidR="00DD3FF9" w:rsidRPr="00D96906" w:rsidRDefault="00DD3FF9" w:rsidP="00F62F1B">
      <w:pPr>
        <w:numPr>
          <w:ilvl w:val="2"/>
          <w:numId w:val="2"/>
        </w:numPr>
        <w:spacing w:line="360" w:lineRule="auto"/>
        <w:ind w:left="2127" w:hanging="709"/>
        <w:rPr>
          <w:rFonts w:ascii="Arial" w:hAnsi="Arial" w:cs="Arial"/>
          <w:b/>
          <w:sz w:val="22"/>
          <w:szCs w:val="22"/>
        </w:rPr>
      </w:pPr>
      <w:r w:rsidRPr="00C42DAF">
        <w:rPr>
          <w:rFonts w:ascii="Arial" w:hAnsi="Arial" w:cs="Arial"/>
          <w:sz w:val="22"/>
          <w:szCs w:val="22"/>
        </w:rPr>
        <w:t xml:space="preserve">Contact Health and Safety managers at </w:t>
      </w:r>
      <w:hyperlink r:id="rId15" w:history="1">
        <w:r w:rsidRPr="00C42DAF">
          <w:rPr>
            <w:rStyle w:val="Hyperlink"/>
            <w:rFonts w:ascii="Arial" w:eastAsiaTheme="majorEastAsia" w:hAnsi="Arial" w:cs="Arial"/>
            <w:sz w:val="22"/>
            <w:szCs w:val="22"/>
          </w:rPr>
          <w:t>http://www.leeds.ac.uk/safety/contacts.htm</w:t>
        </w:r>
      </w:hyperlink>
    </w:p>
    <w:sectPr w:rsidR="00DD3FF9" w:rsidRPr="00D96906" w:rsidSect="00BE05F0">
      <w:footerReference w:type="default" r:id="rId16"/>
      <w:pgSz w:w="11906" w:h="16838"/>
      <w:pgMar w:top="1440" w:right="1440" w:bottom="1440" w:left="1440" w:header="706" w:footer="70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10" w:rsidRDefault="000F5610" w:rsidP="00A4136A">
      <w:r>
        <w:separator/>
      </w:r>
    </w:p>
  </w:endnote>
  <w:endnote w:type="continuationSeparator" w:id="0">
    <w:p w:rsidR="000F5610" w:rsidRDefault="000F5610" w:rsidP="00A4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10" w:rsidRPr="00CE6809" w:rsidRDefault="000F5610">
    <w:pPr>
      <w:pStyle w:val="Footer"/>
      <w:rPr>
        <w:rFonts w:ascii="Arial" w:hAnsi="Arial" w:cs="Arial"/>
        <w:sz w:val="16"/>
        <w:szCs w:val="16"/>
      </w:rPr>
    </w:pPr>
    <w:r w:rsidRPr="00CE6809">
      <w:rPr>
        <w:rFonts w:ascii="Arial" w:hAnsi="Arial" w:cs="Arial"/>
        <w:sz w:val="16"/>
        <w:szCs w:val="16"/>
      </w:rPr>
      <w:t>CEC/Child Protection/</w:t>
    </w:r>
    <w:r>
      <w:rPr>
        <w:rFonts w:ascii="Arial" w:hAnsi="Arial" w:cs="Arial"/>
        <w:sz w:val="16"/>
        <w:szCs w:val="16"/>
      </w:rPr>
      <w:t xml:space="preserve">Admissions </w:t>
    </w:r>
    <w:r w:rsidRPr="00CE6809">
      <w:rPr>
        <w:rFonts w:ascii="Arial" w:hAnsi="Arial" w:cs="Arial"/>
        <w:sz w:val="16"/>
        <w:szCs w:val="16"/>
      </w:rPr>
      <w:t xml:space="preserve">App </w:t>
    </w:r>
    <w:r w:rsidR="00A951A0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-</w:t>
    </w:r>
    <w:r w:rsidRPr="00CE6809">
      <w:rPr>
        <w:rFonts w:ascii="Arial" w:hAnsi="Arial" w:cs="Arial"/>
        <w:sz w:val="16"/>
        <w:szCs w:val="16"/>
      </w:rPr>
      <w:t>Guidance Notes v</w:t>
    </w:r>
    <w:r w:rsidR="00D87EA5">
      <w:rPr>
        <w:rFonts w:ascii="Arial" w:hAnsi="Arial" w:cs="Arial"/>
        <w:sz w:val="16"/>
        <w:szCs w:val="16"/>
      </w:rPr>
      <w:t>5</w:t>
    </w:r>
    <w:r w:rsidRPr="00CE6809">
      <w:rPr>
        <w:rFonts w:ascii="Arial" w:hAnsi="Arial" w:cs="Arial"/>
        <w:sz w:val="16"/>
        <w:szCs w:val="16"/>
      </w:rPr>
      <w:t xml:space="preserve"> </w:t>
    </w:r>
    <w:r w:rsidR="00327B54">
      <w:rPr>
        <w:rFonts w:ascii="Arial" w:hAnsi="Arial" w:cs="Arial"/>
        <w:sz w:val="16"/>
        <w:szCs w:val="16"/>
      </w:rPr>
      <w:t>1</w:t>
    </w:r>
    <w:r w:rsidR="00D87EA5">
      <w:rPr>
        <w:rFonts w:ascii="Arial" w:hAnsi="Arial" w:cs="Arial"/>
        <w:sz w:val="16"/>
        <w:szCs w:val="16"/>
      </w:rPr>
      <w:t>6</w:t>
    </w:r>
    <w:r w:rsidR="00327B54">
      <w:rPr>
        <w:rFonts w:ascii="Arial" w:hAnsi="Arial" w:cs="Arial"/>
        <w:sz w:val="16"/>
        <w:szCs w:val="16"/>
      </w:rPr>
      <w:t>031</w:t>
    </w:r>
    <w:r w:rsidR="00D87EA5">
      <w:rPr>
        <w:rFonts w:ascii="Arial" w:hAnsi="Arial" w:cs="Arial"/>
        <w:sz w:val="16"/>
        <w:szCs w:val="16"/>
      </w:rPr>
      <w:t>6</w:t>
    </w:r>
    <w:r w:rsidR="00327B54">
      <w:rPr>
        <w:rFonts w:ascii="Arial" w:hAnsi="Arial" w:cs="Arial"/>
        <w:sz w:val="16"/>
        <w:szCs w:val="16"/>
      </w:rPr>
      <w:t xml:space="preserve"> latest</w:t>
    </w:r>
    <w:r w:rsidRPr="00CE6809">
      <w:rPr>
        <w:rFonts w:ascii="Arial" w:hAnsi="Arial" w:cs="Arial"/>
        <w:sz w:val="16"/>
        <w:szCs w:val="16"/>
      </w:rPr>
      <w:t>.doc</w:t>
    </w:r>
    <w:r>
      <w:rPr>
        <w:rFonts w:ascii="Arial" w:hAnsi="Arial" w:cs="Arial"/>
        <w:sz w:val="16"/>
        <w:szCs w:val="16"/>
      </w:rPr>
      <w:t>x</w:t>
    </w:r>
  </w:p>
  <w:p w:rsidR="000F5610" w:rsidRDefault="000F5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10" w:rsidRDefault="000F5610" w:rsidP="00A4136A">
      <w:r>
        <w:separator/>
      </w:r>
    </w:p>
  </w:footnote>
  <w:footnote w:type="continuationSeparator" w:id="0">
    <w:p w:rsidR="000F5610" w:rsidRDefault="000F5610" w:rsidP="00A4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4058"/>
    <w:multiLevelType w:val="hybridMultilevel"/>
    <w:tmpl w:val="45842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01BA"/>
    <w:multiLevelType w:val="multilevel"/>
    <w:tmpl w:val="4FD05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F9"/>
    <w:rsid w:val="000C4ECB"/>
    <w:rsid w:val="000F5610"/>
    <w:rsid w:val="001859A1"/>
    <w:rsid w:val="001B673A"/>
    <w:rsid w:val="002B097B"/>
    <w:rsid w:val="00327B54"/>
    <w:rsid w:val="004C0534"/>
    <w:rsid w:val="004C71DA"/>
    <w:rsid w:val="005E5AC9"/>
    <w:rsid w:val="00652D12"/>
    <w:rsid w:val="0071765A"/>
    <w:rsid w:val="00854F82"/>
    <w:rsid w:val="00893154"/>
    <w:rsid w:val="008D6D25"/>
    <w:rsid w:val="009066A7"/>
    <w:rsid w:val="00956112"/>
    <w:rsid w:val="00A148AA"/>
    <w:rsid w:val="00A4136A"/>
    <w:rsid w:val="00A951A0"/>
    <w:rsid w:val="00AB207C"/>
    <w:rsid w:val="00AF126F"/>
    <w:rsid w:val="00B6788B"/>
    <w:rsid w:val="00BD4971"/>
    <w:rsid w:val="00BE05F0"/>
    <w:rsid w:val="00BF62ED"/>
    <w:rsid w:val="00C42DAF"/>
    <w:rsid w:val="00D87EA5"/>
    <w:rsid w:val="00DD3FF9"/>
    <w:rsid w:val="00E35497"/>
    <w:rsid w:val="00EC1BDF"/>
    <w:rsid w:val="00EE11E4"/>
    <w:rsid w:val="00EF52EC"/>
    <w:rsid w:val="00F01DB9"/>
    <w:rsid w:val="00F07C2D"/>
    <w:rsid w:val="00F62F1B"/>
    <w:rsid w:val="00F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8AC754-6ADA-4297-9E26-785EED5A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3FF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D3FF9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F9"/>
    <w:rPr>
      <w:rFonts w:ascii="Times New Roman" w:eastAsiaTheme="majorEastAsia" w:hAnsi="Times New Roman" w:cs="Times New Roman"/>
      <w:b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3FF9"/>
    <w:rPr>
      <w:rFonts w:ascii="Times New Roman" w:eastAsiaTheme="majorEastAsia" w:hAnsi="Times New Roman" w:cs="Times New Roman"/>
      <w:b/>
      <w:bCs/>
      <w:iCs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autoRedefine/>
    <w:qFormat/>
    <w:rsid w:val="00DD3FF9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DD3FF9"/>
    <w:rPr>
      <w:rFonts w:ascii="Times New Roman" w:eastAsiaTheme="majorEastAsia" w:hAnsi="Times New Roman" w:cs="Times New Roman"/>
      <w:b/>
      <w:spacing w:val="5"/>
      <w:sz w:val="36"/>
      <w:szCs w:val="52"/>
      <w:lang w:eastAsia="en-GB"/>
    </w:rPr>
  </w:style>
  <w:style w:type="paragraph" w:styleId="ListParagraph">
    <w:name w:val="List Paragraph"/>
    <w:basedOn w:val="Normal"/>
    <w:uiPriority w:val="34"/>
    <w:qFormat/>
    <w:rsid w:val="00DD3FF9"/>
    <w:pPr>
      <w:ind w:left="720"/>
      <w:contextualSpacing/>
    </w:pPr>
  </w:style>
  <w:style w:type="character" w:styleId="Hyperlink">
    <w:name w:val="Hyperlink"/>
    <w:basedOn w:val="DefaultParagraphFont"/>
    <w:unhideWhenUsed/>
    <w:rsid w:val="00DD3FF9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DD3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3F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1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36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2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s.leeds.ac.uk/download/1133/appendix_2a_risk_assessment_form" TargetMode="External"/><Relationship Id="rId13" Type="http://schemas.openxmlformats.org/officeDocument/2006/relationships/hyperlink" Target="http://www.leeds.ac.uk/safety/five_step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s.leeds.ac.uk/downloads/download/956/appendix_5-staff_guidance_notes" TargetMode="External"/><Relationship Id="rId12" Type="http://schemas.openxmlformats.org/officeDocument/2006/relationships/hyperlink" Target="http://hse.gov.uk/youngpeople/law/index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eds.ac.uk/safety/risk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eds.ac.uk/safety/contacts.htm" TargetMode="External"/><Relationship Id="rId10" Type="http://schemas.openxmlformats.org/officeDocument/2006/relationships/hyperlink" Target="http://ses.leeds.ac.uk/downloads/download/956/appendix_5-staff_guidance_no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eds.ac.uk/safety/risk/index.htm" TargetMode="External"/><Relationship Id="rId14" Type="http://schemas.openxmlformats.org/officeDocument/2006/relationships/hyperlink" Target="http://hr.leeds.ac.uk/homepage/4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Crombie</dc:creator>
  <cp:lastModifiedBy>Hilary Steel</cp:lastModifiedBy>
  <cp:revision>3</cp:revision>
  <cp:lastPrinted>2016-03-23T15:26:00Z</cp:lastPrinted>
  <dcterms:created xsi:type="dcterms:W3CDTF">2016-10-05T14:19:00Z</dcterms:created>
  <dcterms:modified xsi:type="dcterms:W3CDTF">2018-04-13T14:41:00Z</dcterms:modified>
</cp:coreProperties>
</file>