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4" w:rsidRPr="00D17A5D" w:rsidRDefault="00D17A5D" w:rsidP="00D17A5D">
      <w:pPr>
        <w:jc w:val="center"/>
        <w:rPr>
          <w:b/>
          <w:sz w:val="22"/>
          <w:szCs w:val="22"/>
        </w:rPr>
      </w:pPr>
      <w:r w:rsidRPr="00D17A5D">
        <w:rPr>
          <w:b/>
          <w:sz w:val="22"/>
          <w:szCs w:val="22"/>
        </w:rPr>
        <w:t>The University of Leeds</w:t>
      </w:r>
    </w:p>
    <w:p w:rsidR="00D17A5D" w:rsidRPr="00D17A5D" w:rsidRDefault="00807DB6" w:rsidP="008A3A94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="008A3A94">
        <w:rPr>
          <w:sz w:val="22"/>
          <w:szCs w:val="22"/>
        </w:rPr>
        <w:t>ACULTY</w:t>
      </w:r>
      <w:r>
        <w:rPr>
          <w:sz w:val="22"/>
          <w:szCs w:val="22"/>
        </w:rPr>
        <w:t xml:space="preserve"> T</w:t>
      </w:r>
      <w:r w:rsidR="008A3A94">
        <w:rPr>
          <w:sz w:val="22"/>
          <w:szCs w:val="22"/>
        </w:rPr>
        <w:t>AUGHT</w:t>
      </w:r>
      <w:r>
        <w:rPr>
          <w:sz w:val="22"/>
          <w:szCs w:val="22"/>
        </w:rPr>
        <w:t xml:space="preserve"> S</w:t>
      </w:r>
      <w:r w:rsidR="008A3A94">
        <w:rPr>
          <w:sz w:val="22"/>
          <w:szCs w:val="22"/>
        </w:rPr>
        <w:t>TUDENT</w:t>
      </w:r>
      <w:r>
        <w:rPr>
          <w:sz w:val="22"/>
          <w:szCs w:val="22"/>
        </w:rPr>
        <w:t xml:space="preserve"> E</w:t>
      </w:r>
      <w:r w:rsidR="008A3A94">
        <w:rPr>
          <w:sz w:val="22"/>
          <w:szCs w:val="22"/>
        </w:rPr>
        <w:t>DUCTAION</w:t>
      </w:r>
      <w:r>
        <w:rPr>
          <w:sz w:val="22"/>
          <w:szCs w:val="22"/>
        </w:rPr>
        <w:t xml:space="preserve"> C</w:t>
      </w:r>
      <w:r w:rsidR="008A3A94">
        <w:rPr>
          <w:sz w:val="22"/>
          <w:szCs w:val="22"/>
        </w:rPr>
        <w:t>OMMITTEE</w:t>
      </w:r>
    </w:p>
    <w:p w:rsidR="00D17A5D" w:rsidRDefault="00D17A5D" w:rsidP="00F60620">
      <w:pPr>
        <w:jc w:val="center"/>
        <w:rPr>
          <w:b/>
          <w:sz w:val="22"/>
          <w:szCs w:val="22"/>
        </w:rPr>
      </w:pPr>
      <w:r w:rsidRPr="00D17A5D">
        <w:rPr>
          <w:b/>
          <w:sz w:val="22"/>
          <w:szCs w:val="22"/>
        </w:rPr>
        <w:t>Institutional Oversight of Professional, Statutory and Regulatory Bodies (PSRBs) and Accreditation</w:t>
      </w:r>
    </w:p>
    <w:p w:rsidR="00407072" w:rsidRDefault="00407072" w:rsidP="00407072">
      <w:pPr>
        <w:spacing w:before="0"/>
        <w:rPr>
          <w:sz w:val="22"/>
          <w:szCs w:val="22"/>
        </w:rPr>
      </w:pPr>
    </w:p>
    <w:p w:rsidR="00407072" w:rsidRDefault="00A64F7A" w:rsidP="00A443B9">
      <w:pPr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paper outlines the current position </w:t>
      </w:r>
      <w:r w:rsidR="002E7E52">
        <w:rPr>
          <w:i/>
          <w:sz w:val="22"/>
          <w:szCs w:val="22"/>
        </w:rPr>
        <w:t>of Institutional oversight of PSRBs and accreditation. T</w:t>
      </w:r>
      <w:r w:rsidR="00407072" w:rsidRPr="00FD6679">
        <w:rPr>
          <w:i/>
          <w:sz w:val="22"/>
          <w:szCs w:val="22"/>
        </w:rPr>
        <w:t xml:space="preserve">o ensure more effective oversight </w:t>
      </w:r>
      <w:r w:rsidR="002E7E52" w:rsidRPr="00FD6679">
        <w:rPr>
          <w:i/>
          <w:sz w:val="22"/>
          <w:szCs w:val="22"/>
        </w:rPr>
        <w:t xml:space="preserve">a number of recommendations are proposed </w:t>
      </w:r>
      <w:r w:rsidR="002E7E52">
        <w:rPr>
          <w:i/>
          <w:sz w:val="22"/>
          <w:szCs w:val="22"/>
        </w:rPr>
        <w:t xml:space="preserve">in section 2 </w:t>
      </w:r>
      <w:r w:rsidR="00407072" w:rsidRPr="00FD6679">
        <w:rPr>
          <w:i/>
          <w:sz w:val="22"/>
          <w:szCs w:val="22"/>
        </w:rPr>
        <w:t xml:space="preserve">to update our approach </w:t>
      </w:r>
      <w:r w:rsidR="002E7E52">
        <w:rPr>
          <w:i/>
          <w:sz w:val="22"/>
          <w:szCs w:val="22"/>
        </w:rPr>
        <w:t>and</w:t>
      </w:r>
      <w:r w:rsidR="00407072" w:rsidRPr="00FD6679">
        <w:rPr>
          <w:i/>
          <w:sz w:val="22"/>
          <w:szCs w:val="22"/>
        </w:rPr>
        <w:t xml:space="preserve"> reflect best sector practice and complianc</w:t>
      </w:r>
      <w:r w:rsidR="002E7E52">
        <w:rPr>
          <w:i/>
          <w:sz w:val="22"/>
          <w:szCs w:val="22"/>
        </w:rPr>
        <w:t>e with sector wide expectations</w:t>
      </w:r>
      <w:r w:rsidR="00407072" w:rsidRPr="00FD6679">
        <w:rPr>
          <w:i/>
          <w:sz w:val="22"/>
          <w:szCs w:val="22"/>
        </w:rPr>
        <w:t>.</w:t>
      </w:r>
      <w:r w:rsidR="002E7E52">
        <w:rPr>
          <w:i/>
          <w:sz w:val="22"/>
          <w:szCs w:val="22"/>
        </w:rPr>
        <w:t xml:space="preserve"> FTSECs are asked to </w:t>
      </w:r>
      <w:r w:rsidR="00A443B9">
        <w:rPr>
          <w:i/>
          <w:sz w:val="22"/>
          <w:szCs w:val="22"/>
        </w:rPr>
        <w:t xml:space="preserve">note the recommendations and </w:t>
      </w:r>
      <w:r w:rsidR="002E7E52">
        <w:rPr>
          <w:i/>
          <w:sz w:val="22"/>
          <w:szCs w:val="22"/>
        </w:rPr>
        <w:t xml:space="preserve">disseminate the paper to STSECs for immediate </w:t>
      </w:r>
      <w:r w:rsidR="00A443B9">
        <w:rPr>
          <w:i/>
          <w:sz w:val="22"/>
          <w:szCs w:val="22"/>
        </w:rPr>
        <w:t>implement</w:t>
      </w:r>
      <w:r w:rsidR="002E7E52">
        <w:rPr>
          <w:i/>
          <w:sz w:val="22"/>
          <w:szCs w:val="22"/>
        </w:rPr>
        <w:t>ation.</w:t>
      </w:r>
      <w:r w:rsidR="00407072" w:rsidRPr="00FD6679">
        <w:rPr>
          <w:i/>
          <w:sz w:val="22"/>
          <w:szCs w:val="22"/>
        </w:rPr>
        <w:t> </w:t>
      </w:r>
    </w:p>
    <w:p w:rsidR="00A443B9" w:rsidRPr="00A443B9" w:rsidRDefault="00A443B9" w:rsidP="00A443B9">
      <w:pPr>
        <w:spacing w:before="0" w:line="240" w:lineRule="auto"/>
        <w:rPr>
          <w:sz w:val="22"/>
          <w:szCs w:val="22"/>
        </w:rPr>
      </w:pPr>
    </w:p>
    <w:p w:rsidR="00D17A5D" w:rsidRDefault="00954098" w:rsidP="00D17A5D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C319E" w:rsidRPr="009C319E">
        <w:rPr>
          <w:b/>
          <w:sz w:val="22"/>
          <w:szCs w:val="22"/>
        </w:rPr>
        <w:t>.</w:t>
      </w:r>
      <w:r w:rsidR="009C319E" w:rsidRPr="009C319E">
        <w:rPr>
          <w:b/>
          <w:sz w:val="22"/>
          <w:szCs w:val="22"/>
        </w:rPr>
        <w:tab/>
      </w:r>
      <w:r>
        <w:rPr>
          <w:b/>
          <w:sz w:val="22"/>
          <w:szCs w:val="22"/>
        </w:rPr>
        <w:t>Current Position</w:t>
      </w:r>
    </w:p>
    <w:p w:rsidR="008A3A94" w:rsidRDefault="00F8342E" w:rsidP="0021589C">
      <w:pPr>
        <w:rPr>
          <w:sz w:val="22"/>
          <w:szCs w:val="22"/>
        </w:rPr>
      </w:pPr>
      <w:r>
        <w:rPr>
          <w:sz w:val="22"/>
          <w:szCs w:val="22"/>
        </w:rPr>
        <w:t xml:space="preserve">The Quality Assurance Team has undertaken a review of current processes for the oversight of Professional, Statutory and Regulatory Body (PSRB) accreditation, benchmarking practice against the UK Quality Code for Higher Education and other QAA </w:t>
      </w:r>
      <w:r w:rsidR="00356126" w:rsidRPr="00071F55">
        <w:rPr>
          <w:sz w:val="22"/>
          <w:szCs w:val="22"/>
        </w:rPr>
        <w:t>guidance</w:t>
      </w:r>
      <w:r w:rsidR="00341232" w:rsidRPr="00741656">
        <w:rPr>
          <w:sz w:val="22"/>
          <w:szCs w:val="22"/>
          <w:vertAlign w:val="superscript"/>
        </w:rPr>
        <w:t>1</w:t>
      </w:r>
      <w:proofErr w:type="gramStart"/>
      <w:r w:rsidR="00341232" w:rsidRPr="00741656">
        <w:rPr>
          <w:sz w:val="22"/>
          <w:szCs w:val="22"/>
          <w:vertAlign w:val="superscript"/>
        </w:rPr>
        <w:t>,2,3</w:t>
      </w:r>
      <w:proofErr w:type="gramEnd"/>
      <w:r w:rsidR="00341232" w:rsidRPr="00741656">
        <w:rPr>
          <w:sz w:val="22"/>
          <w:szCs w:val="22"/>
        </w:rPr>
        <w:t>.</w:t>
      </w:r>
      <w:r w:rsidR="00CE0955">
        <w:rPr>
          <w:sz w:val="22"/>
          <w:szCs w:val="22"/>
        </w:rPr>
        <w:t xml:space="preserve"> </w:t>
      </w:r>
      <w:r w:rsidR="00F63C15">
        <w:rPr>
          <w:sz w:val="22"/>
          <w:szCs w:val="22"/>
        </w:rPr>
        <w:t>Institutional oversight of PSRBs and accreditation</w:t>
      </w:r>
      <w:r w:rsidR="008A3A94">
        <w:rPr>
          <w:sz w:val="22"/>
          <w:szCs w:val="22"/>
        </w:rPr>
        <w:t xml:space="preserve"> is essential to:</w:t>
      </w:r>
    </w:p>
    <w:p w:rsidR="008A3A94" w:rsidRDefault="00F63C15" w:rsidP="008A3A9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3A94">
        <w:rPr>
          <w:sz w:val="22"/>
          <w:szCs w:val="22"/>
        </w:rPr>
        <w:t>monitor qualifying accreditation for the Key Information Set (KIS)</w:t>
      </w:r>
      <w:r w:rsidRPr="008A3A94">
        <w:rPr>
          <w:sz w:val="22"/>
          <w:szCs w:val="22"/>
          <w:vertAlign w:val="superscript"/>
        </w:rPr>
        <w:t>4</w:t>
      </w:r>
    </w:p>
    <w:p w:rsidR="008A3A94" w:rsidRDefault="00741656" w:rsidP="008A3A9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3A94">
        <w:rPr>
          <w:sz w:val="22"/>
          <w:szCs w:val="22"/>
        </w:rPr>
        <w:t xml:space="preserve">ensure schools comply </w:t>
      </w:r>
      <w:r w:rsidR="00407072" w:rsidRPr="008A3A94">
        <w:rPr>
          <w:sz w:val="22"/>
          <w:szCs w:val="22"/>
        </w:rPr>
        <w:t>with</w:t>
      </w:r>
      <w:r w:rsidRPr="008A3A94">
        <w:rPr>
          <w:sz w:val="22"/>
          <w:szCs w:val="22"/>
        </w:rPr>
        <w:t xml:space="preserve"> actions ari</w:t>
      </w:r>
      <w:r w:rsidR="008A3A94">
        <w:rPr>
          <w:sz w:val="22"/>
          <w:szCs w:val="22"/>
        </w:rPr>
        <w:t>sing from accreditation reports</w:t>
      </w:r>
      <w:r w:rsidRPr="008A3A94">
        <w:rPr>
          <w:sz w:val="22"/>
          <w:szCs w:val="22"/>
        </w:rPr>
        <w:t xml:space="preserve"> </w:t>
      </w:r>
    </w:p>
    <w:p w:rsidR="008A3A94" w:rsidRDefault="00741656" w:rsidP="008A3A9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3A94">
        <w:rPr>
          <w:sz w:val="22"/>
          <w:szCs w:val="22"/>
        </w:rPr>
        <w:t>disseminate good p</w:t>
      </w:r>
      <w:r w:rsidR="008A3A94">
        <w:rPr>
          <w:sz w:val="22"/>
          <w:szCs w:val="22"/>
        </w:rPr>
        <w:t>ractice across the Institution</w:t>
      </w:r>
    </w:p>
    <w:p w:rsidR="008A3A94" w:rsidRDefault="00D45AEC" w:rsidP="008A3A9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3A94">
        <w:rPr>
          <w:sz w:val="22"/>
          <w:szCs w:val="22"/>
        </w:rPr>
        <w:t>learn from</w:t>
      </w:r>
      <w:r w:rsidR="00741656" w:rsidRPr="008A3A94">
        <w:rPr>
          <w:sz w:val="22"/>
          <w:szCs w:val="22"/>
        </w:rPr>
        <w:t xml:space="preserve"> issues which have a broader</w:t>
      </w:r>
      <w:r w:rsidRPr="008A3A94">
        <w:rPr>
          <w:sz w:val="22"/>
          <w:szCs w:val="22"/>
        </w:rPr>
        <w:t xml:space="preserve"> i</w:t>
      </w:r>
      <w:r w:rsidR="00741656" w:rsidRPr="008A3A94">
        <w:rPr>
          <w:sz w:val="22"/>
          <w:szCs w:val="22"/>
        </w:rPr>
        <w:t>nstitutional relevance</w:t>
      </w:r>
    </w:p>
    <w:p w:rsidR="0021589C" w:rsidRDefault="00F60620" w:rsidP="008A3A94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gramStart"/>
      <w:r w:rsidRPr="008A3A94">
        <w:rPr>
          <w:sz w:val="22"/>
          <w:szCs w:val="22"/>
        </w:rPr>
        <w:t>monitor</w:t>
      </w:r>
      <w:proofErr w:type="gramEnd"/>
      <w:r w:rsidRPr="008A3A94">
        <w:rPr>
          <w:sz w:val="22"/>
          <w:szCs w:val="22"/>
        </w:rPr>
        <w:t xml:space="preserve"> qualifying accreditation for the inclusion on Diploma Supplement and Transcript (DST)/ Higher Education Achievement Record (HEAR)</w:t>
      </w:r>
      <w:r w:rsidR="007324F5" w:rsidRPr="008A3A94">
        <w:rPr>
          <w:sz w:val="22"/>
          <w:szCs w:val="22"/>
        </w:rPr>
        <w:t xml:space="preserve">. </w:t>
      </w:r>
    </w:p>
    <w:p w:rsidR="008A3A94" w:rsidRPr="008A3A94" w:rsidRDefault="00A443B9" w:rsidP="008A3A94">
      <w:pPr>
        <w:rPr>
          <w:sz w:val="22"/>
          <w:szCs w:val="22"/>
        </w:rPr>
      </w:pPr>
      <w:r>
        <w:rPr>
          <w:sz w:val="22"/>
          <w:szCs w:val="22"/>
        </w:rPr>
        <w:t>Currently the following statement appears in the academi</w:t>
      </w:r>
      <w:r w:rsidR="004221CC">
        <w:rPr>
          <w:sz w:val="22"/>
          <w:szCs w:val="22"/>
        </w:rPr>
        <w:t>c summary field of the HEAR; ‘Professional accreditation/recognition from &lt;insert name of body&gt;</w:t>
      </w:r>
      <w:r>
        <w:rPr>
          <w:sz w:val="22"/>
          <w:szCs w:val="22"/>
        </w:rPr>
        <w:t xml:space="preserve">’, </w:t>
      </w:r>
      <w:r w:rsidR="00621D11">
        <w:rPr>
          <w:sz w:val="22"/>
          <w:szCs w:val="22"/>
        </w:rPr>
        <w:t xml:space="preserve">however this is not </w:t>
      </w:r>
      <w:r>
        <w:rPr>
          <w:sz w:val="22"/>
          <w:szCs w:val="22"/>
        </w:rPr>
        <w:t>applied to all accredited programmes.</w:t>
      </w:r>
    </w:p>
    <w:p w:rsidR="00741656" w:rsidRPr="005731A8" w:rsidRDefault="00741656" w:rsidP="00A443B9">
      <w:pPr>
        <w:spacing w:before="0" w:line="240" w:lineRule="auto"/>
        <w:rPr>
          <w:sz w:val="22"/>
          <w:szCs w:val="22"/>
        </w:rPr>
      </w:pPr>
    </w:p>
    <w:p w:rsidR="00741656" w:rsidRDefault="00954098" w:rsidP="00D17A5D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C319E" w:rsidRPr="009C319E">
        <w:rPr>
          <w:b/>
          <w:sz w:val="22"/>
          <w:szCs w:val="22"/>
        </w:rPr>
        <w:t>.</w:t>
      </w:r>
      <w:r w:rsidR="009C319E" w:rsidRPr="009C319E">
        <w:rPr>
          <w:b/>
          <w:sz w:val="22"/>
          <w:szCs w:val="22"/>
        </w:rPr>
        <w:tab/>
      </w:r>
      <w:r w:rsidR="002F3BDB">
        <w:rPr>
          <w:b/>
          <w:sz w:val="22"/>
          <w:szCs w:val="22"/>
        </w:rPr>
        <w:t xml:space="preserve">Recommendations and </w:t>
      </w:r>
      <w:r w:rsidR="00D17A5D" w:rsidRPr="009C319E">
        <w:rPr>
          <w:b/>
          <w:sz w:val="22"/>
          <w:szCs w:val="22"/>
        </w:rPr>
        <w:t>Implementation</w:t>
      </w:r>
    </w:p>
    <w:p w:rsidR="00F60620" w:rsidRDefault="00954098" w:rsidP="00A443B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C7CCF" w:rsidRPr="005D0963">
        <w:rPr>
          <w:sz w:val="22"/>
          <w:szCs w:val="22"/>
        </w:rPr>
        <w:t>.1</w:t>
      </w:r>
      <w:r w:rsidR="009C7CCF" w:rsidRPr="005D0963">
        <w:rPr>
          <w:sz w:val="22"/>
          <w:szCs w:val="22"/>
        </w:rPr>
        <w:tab/>
      </w:r>
      <w:r w:rsidR="002F3BDB">
        <w:rPr>
          <w:sz w:val="22"/>
          <w:szCs w:val="22"/>
        </w:rPr>
        <w:t xml:space="preserve">The </w:t>
      </w:r>
      <w:r w:rsidR="009C7CCF" w:rsidRPr="005D0963">
        <w:rPr>
          <w:sz w:val="22"/>
          <w:szCs w:val="22"/>
        </w:rPr>
        <w:t>QA</w:t>
      </w:r>
      <w:r w:rsidR="002F3BDB">
        <w:rPr>
          <w:sz w:val="22"/>
          <w:szCs w:val="22"/>
        </w:rPr>
        <w:t xml:space="preserve"> </w:t>
      </w:r>
      <w:r w:rsidR="009C7CCF" w:rsidRPr="005D0963">
        <w:rPr>
          <w:sz w:val="22"/>
          <w:szCs w:val="22"/>
        </w:rPr>
        <w:t>T</w:t>
      </w:r>
      <w:r w:rsidR="002F3BDB">
        <w:rPr>
          <w:sz w:val="22"/>
          <w:szCs w:val="22"/>
        </w:rPr>
        <w:t>eam have</w:t>
      </w:r>
      <w:r w:rsidR="009C7CCF" w:rsidRPr="005D0963">
        <w:rPr>
          <w:sz w:val="22"/>
          <w:szCs w:val="22"/>
        </w:rPr>
        <w:t xml:space="preserve"> undertaken an institutional audit of PSRBs</w:t>
      </w:r>
      <w:r w:rsidR="005D0963" w:rsidRPr="005D0963">
        <w:rPr>
          <w:sz w:val="22"/>
          <w:szCs w:val="22"/>
        </w:rPr>
        <w:t xml:space="preserve"> and </w:t>
      </w:r>
      <w:r w:rsidR="00FA5ABF" w:rsidRPr="005D0963">
        <w:rPr>
          <w:sz w:val="22"/>
          <w:szCs w:val="22"/>
        </w:rPr>
        <w:t>accreditation</w:t>
      </w:r>
      <w:r w:rsidR="005D0963" w:rsidRPr="005D0963">
        <w:rPr>
          <w:sz w:val="22"/>
          <w:szCs w:val="22"/>
        </w:rPr>
        <w:t xml:space="preserve"> in</w:t>
      </w:r>
      <w:r w:rsidR="002F3BDB">
        <w:rPr>
          <w:sz w:val="22"/>
          <w:szCs w:val="22"/>
        </w:rPr>
        <w:t xml:space="preserve"> September 2014 and compiled an up to date </w:t>
      </w:r>
      <w:r w:rsidR="005D0963" w:rsidRPr="005D0963">
        <w:rPr>
          <w:sz w:val="22"/>
          <w:szCs w:val="22"/>
        </w:rPr>
        <w:t>database</w:t>
      </w:r>
      <w:r w:rsidR="002F3BDB">
        <w:rPr>
          <w:sz w:val="22"/>
          <w:szCs w:val="22"/>
        </w:rPr>
        <w:t>.</w:t>
      </w:r>
      <w:r w:rsidR="009B11F6">
        <w:rPr>
          <w:sz w:val="22"/>
          <w:szCs w:val="22"/>
        </w:rPr>
        <w:t xml:space="preserve"> For access to the database, please contact the QA Team. The table below summarises the number of accrediting</w:t>
      </w:r>
      <w:r w:rsidR="00777AEB">
        <w:rPr>
          <w:sz w:val="22"/>
          <w:szCs w:val="22"/>
        </w:rPr>
        <w:t xml:space="preserve"> bodies per f</w:t>
      </w:r>
      <w:r w:rsidR="009B11F6">
        <w:rPr>
          <w:sz w:val="22"/>
          <w:szCs w:val="22"/>
        </w:rPr>
        <w:t>aculty: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2693"/>
      </w:tblGrid>
      <w:tr w:rsidR="009B11F6" w:rsidTr="00B613D2">
        <w:tc>
          <w:tcPr>
            <w:tcW w:w="2835" w:type="dxa"/>
          </w:tcPr>
          <w:p w:rsidR="009B11F6" w:rsidRPr="00B613D2" w:rsidRDefault="009B11F6" w:rsidP="00A443B9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613D2">
              <w:rPr>
                <w:b/>
                <w:sz w:val="22"/>
                <w:szCs w:val="22"/>
              </w:rPr>
              <w:t>Faculty</w:t>
            </w:r>
          </w:p>
        </w:tc>
        <w:tc>
          <w:tcPr>
            <w:tcW w:w="3544" w:type="dxa"/>
          </w:tcPr>
          <w:p w:rsidR="009B11F6" w:rsidRPr="00B613D2" w:rsidRDefault="009B11F6" w:rsidP="00A443B9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613D2">
              <w:rPr>
                <w:b/>
                <w:sz w:val="22"/>
                <w:szCs w:val="22"/>
              </w:rPr>
              <w:t>Number of Programmes Accredited</w:t>
            </w:r>
          </w:p>
        </w:tc>
        <w:tc>
          <w:tcPr>
            <w:tcW w:w="2693" w:type="dxa"/>
          </w:tcPr>
          <w:p w:rsidR="009B11F6" w:rsidRPr="009B11F6" w:rsidRDefault="009B11F6" w:rsidP="00A443B9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9B11F6">
              <w:rPr>
                <w:b/>
                <w:sz w:val="22"/>
                <w:szCs w:val="22"/>
              </w:rPr>
              <w:t>Number of Accrediting Bodies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</w:t>
            </w:r>
          </w:p>
        </w:tc>
        <w:tc>
          <w:tcPr>
            <w:tcW w:w="3544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(+ English language modules)</w:t>
            </w:r>
          </w:p>
        </w:tc>
        <w:tc>
          <w:tcPr>
            <w:tcW w:w="2693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Sciences</w:t>
            </w:r>
          </w:p>
        </w:tc>
        <w:tc>
          <w:tcPr>
            <w:tcW w:w="3544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9B11F6" w:rsidRDefault="008163FB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</w:t>
            </w:r>
          </w:p>
        </w:tc>
        <w:tc>
          <w:tcPr>
            <w:tcW w:w="3544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Education, Social Science and Law</w:t>
            </w:r>
          </w:p>
        </w:tc>
        <w:tc>
          <w:tcPr>
            <w:tcW w:w="3544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</w:t>
            </w:r>
          </w:p>
        </w:tc>
        <w:tc>
          <w:tcPr>
            <w:tcW w:w="3544" w:type="dxa"/>
          </w:tcPr>
          <w:p w:rsidR="009B11F6" w:rsidRDefault="00055FD6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(+ 4 pending)</w:t>
            </w:r>
          </w:p>
        </w:tc>
        <w:tc>
          <w:tcPr>
            <w:tcW w:w="2693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</w:t>
            </w:r>
          </w:p>
        </w:tc>
        <w:tc>
          <w:tcPr>
            <w:tcW w:w="3544" w:type="dxa"/>
          </w:tcPr>
          <w:p w:rsidR="009B11F6" w:rsidRDefault="00F06F61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and Physical Sciences</w:t>
            </w:r>
          </w:p>
        </w:tc>
        <w:tc>
          <w:tcPr>
            <w:tcW w:w="3544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9B11F6" w:rsidRDefault="00B613D2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Medicine and Health</w:t>
            </w:r>
          </w:p>
        </w:tc>
        <w:tc>
          <w:tcPr>
            <w:tcW w:w="3544" w:type="dxa"/>
          </w:tcPr>
          <w:p w:rsidR="009B11F6" w:rsidRDefault="008163FB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</w:tcPr>
          <w:p w:rsidR="009B11F6" w:rsidRDefault="008163FB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B11F6" w:rsidTr="00B613D2">
        <w:tc>
          <w:tcPr>
            <w:tcW w:w="2835" w:type="dxa"/>
          </w:tcPr>
          <w:p w:rsidR="009B11F6" w:rsidRDefault="009B11F6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</w:t>
            </w:r>
            <w:r w:rsidR="00621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Visual Arts and Communications</w:t>
            </w:r>
          </w:p>
        </w:tc>
        <w:tc>
          <w:tcPr>
            <w:tcW w:w="3544" w:type="dxa"/>
          </w:tcPr>
          <w:p w:rsidR="009B11F6" w:rsidRDefault="00223B7C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B11F6" w:rsidRDefault="00223B7C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11F6" w:rsidTr="00B613D2">
        <w:tc>
          <w:tcPr>
            <w:tcW w:w="2835" w:type="dxa"/>
          </w:tcPr>
          <w:p w:rsidR="009B11F6" w:rsidRDefault="00F06F61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Lifelong Learning Centre</w:t>
            </w:r>
          </w:p>
        </w:tc>
        <w:tc>
          <w:tcPr>
            <w:tcW w:w="3544" w:type="dxa"/>
          </w:tcPr>
          <w:p w:rsidR="009B11F6" w:rsidRDefault="00F06F61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B11F6" w:rsidRDefault="00F06F61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3B7C" w:rsidTr="00B613D2">
        <w:tc>
          <w:tcPr>
            <w:tcW w:w="2835" w:type="dxa"/>
          </w:tcPr>
          <w:p w:rsidR="00223B7C" w:rsidRDefault="00223B7C" w:rsidP="00A443B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SDDU</w:t>
            </w:r>
          </w:p>
        </w:tc>
        <w:tc>
          <w:tcPr>
            <w:tcW w:w="3544" w:type="dxa"/>
          </w:tcPr>
          <w:p w:rsidR="00223B7C" w:rsidRDefault="00223B7C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23B7C" w:rsidRDefault="00223B7C" w:rsidP="00A443B9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D0963" w:rsidRDefault="00954098" w:rsidP="00D17A5D">
      <w:pPr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D0963" w:rsidRPr="005D0963">
        <w:rPr>
          <w:sz w:val="22"/>
          <w:szCs w:val="22"/>
        </w:rPr>
        <w:t>.2</w:t>
      </w:r>
      <w:r w:rsidR="005D0963" w:rsidRPr="005D0963">
        <w:rPr>
          <w:sz w:val="22"/>
          <w:szCs w:val="22"/>
        </w:rPr>
        <w:tab/>
      </w:r>
      <w:r w:rsidR="002F3BDB">
        <w:rPr>
          <w:sz w:val="22"/>
          <w:szCs w:val="22"/>
        </w:rPr>
        <w:t>T</w:t>
      </w:r>
      <w:r w:rsidR="002F3BDB" w:rsidRPr="009C7CCF">
        <w:rPr>
          <w:sz w:val="22"/>
          <w:szCs w:val="22"/>
        </w:rPr>
        <w:t>o reflect best sector practice and comply with sector-wide expectations</w:t>
      </w:r>
      <w:r w:rsidR="002F3BDB">
        <w:rPr>
          <w:sz w:val="22"/>
          <w:szCs w:val="22"/>
        </w:rPr>
        <w:t xml:space="preserve"> we propose that the following are implemented across all faculties with immediate effect:</w:t>
      </w:r>
    </w:p>
    <w:p w:rsidR="002F3BDB" w:rsidRDefault="008415C4" w:rsidP="00130624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 w:rsidR="002F3BDB">
        <w:rPr>
          <w:sz w:val="22"/>
          <w:szCs w:val="22"/>
        </w:rPr>
        <w:t xml:space="preserve"> </w:t>
      </w:r>
      <w:r w:rsidR="002F3BDB">
        <w:rPr>
          <w:sz w:val="22"/>
          <w:szCs w:val="22"/>
        </w:rPr>
        <w:tab/>
      </w:r>
      <w:r w:rsidR="00FD6679">
        <w:rPr>
          <w:sz w:val="22"/>
          <w:szCs w:val="22"/>
        </w:rPr>
        <w:t>QA functional lead to act as</w:t>
      </w:r>
      <w:r w:rsidR="002F3BDB">
        <w:rPr>
          <w:sz w:val="22"/>
          <w:szCs w:val="22"/>
        </w:rPr>
        <w:t xml:space="preserve"> a PSRB contact to the QA Team.</w:t>
      </w:r>
    </w:p>
    <w:p w:rsidR="002F3BDB" w:rsidRDefault="008415C4" w:rsidP="0014137F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ii</w:t>
      </w:r>
      <w:proofErr w:type="gramEnd"/>
      <w:r w:rsidR="002F3BDB">
        <w:rPr>
          <w:sz w:val="22"/>
          <w:szCs w:val="22"/>
        </w:rPr>
        <w:t xml:space="preserve"> </w:t>
      </w:r>
      <w:r w:rsidR="002F3BDB">
        <w:rPr>
          <w:sz w:val="22"/>
          <w:szCs w:val="22"/>
        </w:rPr>
        <w:tab/>
        <w:t xml:space="preserve">Schools </w:t>
      </w:r>
      <w:r w:rsidR="006064F6">
        <w:rPr>
          <w:sz w:val="22"/>
          <w:szCs w:val="22"/>
        </w:rPr>
        <w:t xml:space="preserve">to </w:t>
      </w:r>
      <w:r w:rsidR="002F3BDB">
        <w:rPr>
          <w:sz w:val="22"/>
          <w:szCs w:val="22"/>
        </w:rPr>
        <w:t>update the QA Team on scheduled accredita</w:t>
      </w:r>
      <w:r>
        <w:rPr>
          <w:sz w:val="22"/>
          <w:szCs w:val="22"/>
        </w:rPr>
        <w:t>tions to</w:t>
      </w:r>
      <w:r w:rsidR="002F3BDB">
        <w:rPr>
          <w:sz w:val="22"/>
          <w:szCs w:val="22"/>
        </w:rPr>
        <w:t xml:space="preserve"> ensure informati</w:t>
      </w:r>
      <w:r>
        <w:rPr>
          <w:sz w:val="22"/>
          <w:szCs w:val="22"/>
        </w:rPr>
        <w:t>on in the database is accurate and current</w:t>
      </w:r>
      <w:r w:rsidR="002F3BDB">
        <w:rPr>
          <w:sz w:val="22"/>
          <w:szCs w:val="22"/>
        </w:rPr>
        <w:t>.</w:t>
      </w:r>
    </w:p>
    <w:p w:rsidR="00FD6679" w:rsidRDefault="00FD6679" w:rsidP="0014137F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iii</w:t>
      </w:r>
      <w:proofErr w:type="gramEnd"/>
      <w:r>
        <w:rPr>
          <w:sz w:val="22"/>
          <w:szCs w:val="22"/>
        </w:rPr>
        <w:tab/>
        <w:t>QA Team to annually</w:t>
      </w:r>
      <w:r w:rsidR="004221CC">
        <w:rPr>
          <w:sz w:val="22"/>
          <w:szCs w:val="22"/>
        </w:rPr>
        <w:t xml:space="preserve"> (September)</w:t>
      </w:r>
      <w:r>
        <w:rPr>
          <w:sz w:val="22"/>
          <w:szCs w:val="22"/>
        </w:rPr>
        <w:t xml:space="preserve"> send the faculty PSRB database report to the QA functional lead for updating. </w:t>
      </w:r>
    </w:p>
    <w:p w:rsidR="00130624" w:rsidRDefault="008415C4" w:rsidP="00130624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FD6679">
        <w:rPr>
          <w:sz w:val="22"/>
          <w:szCs w:val="22"/>
        </w:rPr>
        <w:t>iv</w:t>
      </w:r>
      <w:proofErr w:type="gramEnd"/>
      <w:r w:rsidR="00130624">
        <w:rPr>
          <w:sz w:val="22"/>
          <w:szCs w:val="22"/>
        </w:rPr>
        <w:tab/>
        <w:t xml:space="preserve">Schools </w:t>
      </w:r>
      <w:r w:rsidR="008A3A94">
        <w:rPr>
          <w:sz w:val="22"/>
          <w:szCs w:val="22"/>
        </w:rPr>
        <w:t xml:space="preserve">(QA functional lead) </w:t>
      </w:r>
      <w:r w:rsidR="00FD6679">
        <w:rPr>
          <w:sz w:val="22"/>
          <w:szCs w:val="22"/>
        </w:rPr>
        <w:t>to upload</w:t>
      </w:r>
      <w:r w:rsidR="00130624">
        <w:rPr>
          <w:sz w:val="22"/>
          <w:szCs w:val="22"/>
        </w:rPr>
        <w:t xml:space="preserve"> reports and any action plans arising from an accreditation visit</w:t>
      </w:r>
      <w:r w:rsidR="00FD6679">
        <w:rPr>
          <w:sz w:val="22"/>
          <w:szCs w:val="22"/>
        </w:rPr>
        <w:t xml:space="preserve"> to a designated</w:t>
      </w:r>
      <w:r w:rsidR="004221CC">
        <w:rPr>
          <w:sz w:val="22"/>
          <w:szCs w:val="22"/>
        </w:rPr>
        <w:t xml:space="preserve"> limited acc</w:t>
      </w:r>
      <w:r w:rsidR="00FD6679">
        <w:rPr>
          <w:sz w:val="22"/>
          <w:szCs w:val="22"/>
        </w:rPr>
        <w:t>ess SharePoint site</w:t>
      </w:r>
      <w:r w:rsidR="00537F97">
        <w:rPr>
          <w:sz w:val="22"/>
          <w:szCs w:val="22"/>
        </w:rPr>
        <w:t>,</w:t>
      </w:r>
      <w:r w:rsidR="00FD6679">
        <w:rPr>
          <w:sz w:val="22"/>
          <w:szCs w:val="22"/>
        </w:rPr>
        <w:t xml:space="preserve"> and inform the QA Team</w:t>
      </w:r>
      <w:r w:rsidR="00130624">
        <w:rPr>
          <w:sz w:val="22"/>
          <w:szCs w:val="22"/>
        </w:rPr>
        <w:t>.</w:t>
      </w:r>
    </w:p>
    <w:p w:rsidR="00130624" w:rsidRDefault="008415C4" w:rsidP="00130624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v</w:t>
      </w:r>
      <w:proofErr w:type="gramEnd"/>
      <w:r>
        <w:rPr>
          <w:sz w:val="22"/>
          <w:szCs w:val="22"/>
        </w:rPr>
        <w:tab/>
        <w:t>Report and</w:t>
      </w:r>
      <w:r w:rsidR="00130624">
        <w:rPr>
          <w:sz w:val="22"/>
          <w:szCs w:val="22"/>
        </w:rPr>
        <w:t xml:space="preserve"> action plans arising from an accreditation visit to be di</w:t>
      </w:r>
      <w:r w:rsidR="004221CC">
        <w:rPr>
          <w:sz w:val="22"/>
          <w:szCs w:val="22"/>
        </w:rPr>
        <w:t>scussed at Annual School Review</w:t>
      </w:r>
      <w:r w:rsidR="00130624">
        <w:rPr>
          <w:sz w:val="22"/>
          <w:szCs w:val="22"/>
        </w:rPr>
        <w:t xml:space="preserve"> </w:t>
      </w:r>
      <w:r w:rsidR="00D044B3">
        <w:rPr>
          <w:sz w:val="22"/>
          <w:szCs w:val="22"/>
        </w:rPr>
        <w:t xml:space="preserve">(Student Education) </w:t>
      </w:r>
      <w:r w:rsidR="00130624">
        <w:rPr>
          <w:sz w:val="22"/>
          <w:szCs w:val="22"/>
        </w:rPr>
        <w:t>or Student Academic Experience Review (SAER) meetings.</w:t>
      </w:r>
    </w:p>
    <w:p w:rsidR="006064F6" w:rsidRDefault="008415C4" w:rsidP="006064F6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vi</w:t>
      </w:r>
      <w:proofErr w:type="gramEnd"/>
      <w:r>
        <w:rPr>
          <w:sz w:val="22"/>
          <w:szCs w:val="22"/>
        </w:rPr>
        <w:tab/>
        <w:t>Actions arising from action p</w:t>
      </w:r>
      <w:r w:rsidR="00130624">
        <w:rPr>
          <w:sz w:val="22"/>
          <w:szCs w:val="22"/>
        </w:rPr>
        <w:t xml:space="preserve">lans to be followed up at subsequent </w:t>
      </w:r>
      <w:r w:rsidR="004221CC">
        <w:rPr>
          <w:sz w:val="22"/>
          <w:szCs w:val="22"/>
        </w:rPr>
        <w:t>Annual School Review</w:t>
      </w:r>
      <w:r w:rsidR="00D044B3">
        <w:rPr>
          <w:sz w:val="22"/>
          <w:szCs w:val="22"/>
        </w:rPr>
        <w:t xml:space="preserve"> (Student Education)</w:t>
      </w:r>
      <w:r>
        <w:rPr>
          <w:sz w:val="22"/>
          <w:szCs w:val="22"/>
        </w:rPr>
        <w:t xml:space="preserve"> or SAER</w:t>
      </w:r>
      <w:r w:rsidR="00130624">
        <w:rPr>
          <w:sz w:val="22"/>
          <w:szCs w:val="22"/>
        </w:rPr>
        <w:t xml:space="preserve"> meetings.</w:t>
      </w:r>
    </w:p>
    <w:p w:rsidR="006064F6" w:rsidRDefault="004221CC" w:rsidP="00130624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vii</w:t>
      </w:r>
      <w:proofErr w:type="gramEnd"/>
      <w:r>
        <w:rPr>
          <w:sz w:val="22"/>
          <w:szCs w:val="22"/>
        </w:rPr>
        <w:tab/>
      </w:r>
      <w:r w:rsidR="006064F6">
        <w:rPr>
          <w:sz w:val="22"/>
          <w:szCs w:val="22"/>
        </w:rPr>
        <w:t xml:space="preserve">Schools to include a ‘status of actions arising from accreditation visit’ standing item on STSEC agendas, if appropriate. </w:t>
      </w:r>
    </w:p>
    <w:p w:rsidR="00A443B9" w:rsidRDefault="00A443B9" w:rsidP="00130624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viii</w:t>
      </w:r>
      <w:proofErr w:type="gramEnd"/>
      <w:r>
        <w:rPr>
          <w:sz w:val="22"/>
          <w:szCs w:val="22"/>
        </w:rPr>
        <w:tab/>
        <w:t>PSRB database to be utilised by</w:t>
      </w:r>
      <w:r w:rsidR="00612553">
        <w:rPr>
          <w:sz w:val="22"/>
          <w:szCs w:val="22"/>
        </w:rPr>
        <w:t xml:space="preserve"> </w:t>
      </w:r>
      <w:r w:rsidR="004221CC">
        <w:rPr>
          <w:sz w:val="22"/>
          <w:szCs w:val="22"/>
        </w:rPr>
        <w:t>Programme Support and Assessment</w:t>
      </w:r>
      <w:r>
        <w:rPr>
          <w:sz w:val="22"/>
          <w:szCs w:val="22"/>
        </w:rPr>
        <w:t xml:space="preserve"> </w:t>
      </w:r>
      <w:r w:rsidR="00612553">
        <w:rPr>
          <w:sz w:val="22"/>
          <w:szCs w:val="22"/>
        </w:rPr>
        <w:t>t</w:t>
      </w:r>
      <w:r>
        <w:rPr>
          <w:sz w:val="22"/>
          <w:szCs w:val="22"/>
        </w:rPr>
        <w:t xml:space="preserve">o ensure the accreditation </w:t>
      </w:r>
      <w:r w:rsidR="00612553">
        <w:rPr>
          <w:sz w:val="22"/>
          <w:szCs w:val="22"/>
        </w:rPr>
        <w:t>statement</w:t>
      </w:r>
      <w:r>
        <w:rPr>
          <w:sz w:val="22"/>
          <w:szCs w:val="22"/>
        </w:rPr>
        <w:t xml:space="preserve"> </w:t>
      </w:r>
      <w:r w:rsidR="00612553">
        <w:rPr>
          <w:sz w:val="22"/>
          <w:szCs w:val="22"/>
        </w:rPr>
        <w:t>is present on all appropriate HEARs.</w:t>
      </w:r>
      <w:r>
        <w:rPr>
          <w:sz w:val="22"/>
          <w:szCs w:val="22"/>
        </w:rPr>
        <w:tab/>
      </w:r>
    </w:p>
    <w:p w:rsidR="004221CC" w:rsidRDefault="00612553" w:rsidP="008415C4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ix</w:t>
      </w:r>
      <w:proofErr w:type="gramEnd"/>
      <w:r>
        <w:rPr>
          <w:sz w:val="22"/>
          <w:szCs w:val="22"/>
        </w:rPr>
        <w:tab/>
      </w:r>
      <w:r w:rsidR="004221CC">
        <w:rPr>
          <w:sz w:val="22"/>
          <w:szCs w:val="22"/>
        </w:rPr>
        <w:t>PSRB database to be utilised by Strategy and Planning to ensure all qualifying accreditations are included in the Key Information Set.</w:t>
      </w:r>
    </w:p>
    <w:p w:rsidR="00130624" w:rsidRDefault="004221CC" w:rsidP="008415C4">
      <w:pPr>
        <w:tabs>
          <w:tab w:val="left" w:pos="426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ab/>
      </w:r>
      <w:r w:rsidR="00130624">
        <w:rPr>
          <w:sz w:val="22"/>
          <w:szCs w:val="22"/>
        </w:rPr>
        <w:t xml:space="preserve">The QA Team to </w:t>
      </w:r>
      <w:r w:rsidR="00537F97">
        <w:rPr>
          <w:sz w:val="22"/>
          <w:szCs w:val="22"/>
        </w:rPr>
        <w:t xml:space="preserve">review accreditation reports and </w:t>
      </w:r>
      <w:r w:rsidR="00130624">
        <w:rPr>
          <w:sz w:val="22"/>
          <w:szCs w:val="22"/>
        </w:rPr>
        <w:t>produce an annual report to the Taught Student Education Board (TSEB) outlining the Institutional st</w:t>
      </w:r>
      <w:r w:rsidR="00CB2AE4">
        <w:rPr>
          <w:sz w:val="22"/>
          <w:szCs w:val="22"/>
        </w:rPr>
        <w:t>atus of PSRB and accreditations</w:t>
      </w:r>
      <w:r w:rsidR="00787EAA">
        <w:rPr>
          <w:sz w:val="22"/>
          <w:szCs w:val="22"/>
        </w:rPr>
        <w:t>,</w:t>
      </w:r>
      <w:bookmarkStart w:id="0" w:name="_GoBack"/>
      <w:bookmarkEnd w:id="0"/>
      <w:r w:rsidR="00CB2AE4">
        <w:rPr>
          <w:sz w:val="22"/>
          <w:szCs w:val="22"/>
        </w:rPr>
        <w:t xml:space="preserve"> and highlighting any issues of institutional significance.</w:t>
      </w:r>
    </w:p>
    <w:p w:rsidR="00D45AEC" w:rsidRDefault="00D45AEC" w:rsidP="00D45AEC">
      <w:pPr>
        <w:tabs>
          <w:tab w:val="left" w:pos="425"/>
          <w:tab w:val="left" w:pos="462"/>
        </w:tabs>
        <w:spacing w:before="0"/>
        <w:rPr>
          <w:sz w:val="22"/>
          <w:szCs w:val="22"/>
        </w:rPr>
      </w:pPr>
    </w:p>
    <w:p w:rsidR="00D45AEC" w:rsidRPr="00D45AEC" w:rsidRDefault="00483041" w:rsidP="00D45AEC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45AEC" w:rsidRPr="00D45AEC">
        <w:rPr>
          <w:b/>
          <w:sz w:val="22"/>
          <w:szCs w:val="22"/>
        </w:rPr>
        <w:t>.</w:t>
      </w:r>
      <w:r w:rsidR="00D45AEC" w:rsidRPr="00D45AEC">
        <w:rPr>
          <w:b/>
          <w:sz w:val="22"/>
          <w:szCs w:val="22"/>
        </w:rPr>
        <w:tab/>
        <w:t>References</w:t>
      </w:r>
    </w:p>
    <w:p w:rsidR="00D17A5D" w:rsidRDefault="00F0549B" w:rsidP="00D17A5D">
      <w:pPr>
        <w:rPr>
          <w:sz w:val="22"/>
          <w:szCs w:val="22"/>
        </w:rPr>
      </w:pPr>
      <w:r w:rsidRPr="00F0549B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Professional, statutory and regulatory bodies: an exploration of their engagement with higher education. Higher Education Better Regulation Group (HEBRG). March 2011.</w:t>
      </w:r>
    </w:p>
    <w:p w:rsidR="00486C57" w:rsidRDefault="00486C57" w:rsidP="00D17A5D">
      <w:pPr>
        <w:rPr>
          <w:rStyle w:val="Hyperlink"/>
          <w:sz w:val="22"/>
          <w:szCs w:val="22"/>
        </w:rPr>
      </w:pPr>
      <w:r w:rsidRPr="00486C57">
        <w:rPr>
          <w:sz w:val="22"/>
          <w:szCs w:val="22"/>
          <w:vertAlign w:val="superscript"/>
        </w:rPr>
        <w:t>2</w:t>
      </w:r>
      <w:hyperlink r:id="rId6" w:history="1">
        <w:r w:rsidRPr="00122D96">
          <w:rPr>
            <w:rStyle w:val="Hyperlink"/>
            <w:sz w:val="22"/>
            <w:szCs w:val="22"/>
          </w:rPr>
          <w:t>http://www.qaa.ac.uk/partners/professional-bodies</w:t>
        </w:r>
      </w:hyperlink>
    </w:p>
    <w:p w:rsidR="00461423" w:rsidRDefault="00461423" w:rsidP="00D17A5D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9161A9">
        <w:rPr>
          <w:sz w:val="22"/>
          <w:szCs w:val="22"/>
        </w:rPr>
        <w:t>Outcomes from institutional audit: Institutions’ work with employers and professional, statutory and regulatory bodies (second series)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The Quality Assurance Agency for Higher Education.</w:t>
      </w:r>
      <w:proofErr w:type="gramEnd"/>
      <w:r>
        <w:rPr>
          <w:sz w:val="22"/>
          <w:szCs w:val="22"/>
        </w:rPr>
        <w:t xml:space="preserve"> 2008.</w:t>
      </w:r>
    </w:p>
    <w:p w:rsidR="00D17A5D" w:rsidRDefault="00461423" w:rsidP="00D17A5D">
      <w:pPr>
        <w:rPr>
          <w:rStyle w:val="Hyperlink"/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hyperlink r:id="rId7" w:history="1">
        <w:r w:rsidR="00C7466C" w:rsidRPr="00122D96">
          <w:rPr>
            <w:rStyle w:val="Hyperlink"/>
            <w:sz w:val="22"/>
            <w:szCs w:val="22"/>
          </w:rPr>
          <w:t>https://www.hesa.ac.uk/index.php?option=com_studrec&amp;task=show_file&amp;Itemid=233&amp;mnl=14061&amp;href=accreditation_list.html</w:t>
        </w:r>
      </w:hyperlink>
    </w:p>
    <w:p w:rsidR="00D45AEC" w:rsidRDefault="00D45AEC" w:rsidP="00D17A5D">
      <w:pPr>
        <w:rPr>
          <w:sz w:val="22"/>
          <w:szCs w:val="22"/>
        </w:rPr>
      </w:pPr>
    </w:p>
    <w:p w:rsidR="00564036" w:rsidRPr="00564036" w:rsidRDefault="00564036" w:rsidP="00564036">
      <w:pPr>
        <w:spacing w:before="0" w:line="240" w:lineRule="auto"/>
        <w:rPr>
          <w:sz w:val="20"/>
          <w:szCs w:val="20"/>
        </w:rPr>
      </w:pPr>
      <w:r w:rsidRPr="00564036">
        <w:rPr>
          <w:sz w:val="20"/>
          <w:szCs w:val="20"/>
        </w:rPr>
        <w:t>IJ Whitehouse</w:t>
      </w:r>
    </w:p>
    <w:p w:rsidR="00564036" w:rsidRPr="00564036" w:rsidRDefault="00564036" w:rsidP="00564036">
      <w:pPr>
        <w:spacing w:before="0" w:line="240" w:lineRule="auto"/>
        <w:rPr>
          <w:sz w:val="20"/>
          <w:szCs w:val="20"/>
        </w:rPr>
      </w:pPr>
      <w:r w:rsidRPr="00564036">
        <w:rPr>
          <w:sz w:val="20"/>
          <w:szCs w:val="20"/>
        </w:rPr>
        <w:t>QAT</w:t>
      </w:r>
    </w:p>
    <w:p w:rsidR="00564036" w:rsidRPr="00564036" w:rsidRDefault="008A3A94" w:rsidP="00564036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February</w:t>
      </w:r>
      <w:r w:rsidR="003D7FB9">
        <w:rPr>
          <w:sz w:val="20"/>
          <w:szCs w:val="20"/>
        </w:rPr>
        <w:t xml:space="preserve"> 2015</w:t>
      </w:r>
    </w:p>
    <w:sectPr w:rsidR="00564036" w:rsidRPr="00564036" w:rsidSect="00407072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96F69"/>
    <w:multiLevelType w:val="hybridMultilevel"/>
    <w:tmpl w:val="9EE8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943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5D"/>
    <w:rsid w:val="00055FD6"/>
    <w:rsid w:val="00071F55"/>
    <w:rsid w:val="0009624D"/>
    <w:rsid w:val="000A395C"/>
    <w:rsid w:val="000A4E18"/>
    <w:rsid w:val="00130624"/>
    <w:rsid w:val="0014137F"/>
    <w:rsid w:val="00160154"/>
    <w:rsid w:val="00161584"/>
    <w:rsid w:val="001C2F45"/>
    <w:rsid w:val="00211F29"/>
    <w:rsid w:val="0021589C"/>
    <w:rsid w:val="00223B7C"/>
    <w:rsid w:val="00273123"/>
    <w:rsid w:val="002A237B"/>
    <w:rsid w:val="002E7E52"/>
    <w:rsid w:val="002F3BDB"/>
    <w:rsid w:val="00330467"/>
    <w:rsid w:val="003400F1"/>
    <w:rsid w:val="00341232"/>
    <w:rsid w:val="00356126"/>
    <w:rsid w:val="003D7FB9"/>
    <w:rsid w:val="00407072"/>
    <w:rsid w:val="00416AA0"/>
    <w:rsid w:val="004221CC"/>
    <w:rsid w:val="00461423"/>
    <w:rsid w:val="00482EFB"/>
    <w:rsid w:val="00483041"/>
    <w:rsid w:val="00486C57"/>
    <w:rsid w:val="00537F97"/>
    <w:rsid w:val="0056264E"/>
    <w:rsid w:val="00564036"/>
    <w:rsid w:val="00566AAF"/>
    <w:rsid w:val="005731A8"/>
    <w:rsid w:val="005B0D14"/>
    <w:rsid w:val="005B1E76"/>
    <w:rsid w:val="005C161B"/>
    <w:rsid w:val="005D0963"/>
    <w:rsid w:val="006064F6"/>
    <w:rsid w:val="00612553"/>
    <w:rsid w:val="00621D11"/>
    <w:rsid w:val="00632EFD"/>
    <w:rsid w:val="006422C8"/>
    <w:rsid w:val="0067134A"/>
    <w:rsid w:val="006876C4"/>
    <w:rsid w:val="006F163E"/>
    <w:rsid w:val="007324F5"/>
    <w:rsid w:val="00741656"/>
    <w:rsid w:val="007615AE"/>
    <w:rsid w:val="00777AEB"/>
    <w:rsid w:val="00787EAA"/>
    <w:rsid w:val="00807DB6"/>
    <w:rsid w:val="00814F97"/>
    <w:rsid w:val="008163FB"/>
    <w:rsid w:val="00837E24"/>
    <w:rsid w:val="008415C4"/>
    <w:rsid w:val="00873D7B"/>
    <w:rsid w:val="00880119"/>
    <w:rsid w:val="00890E90"/>
    <w:rsid w:val="008A3A94"/>
    <w:rsid w:val="0090508B"/>
    <w:rsid w:val="0091059B"/>
    <w:rsid w:val="009161A9"/>
    <w:rsid w:val="00930117"/>
    <w:rsid w:val="00954098"/>
    <w:rsid w:val="009643F3"/>
    <w:rsid w:val="009A0510"/>
    <w:rsid w:val="009B11F6"/>
    <w:rsid w:val="009C319E"/>
    <w:rsid w:val="009C7CCF"/>
    <w:rsid w:val="00A36CF5"/>
    <w:rsid w:val="00A443B9"/>
    <w:rsid w:val="00A64F7A"/>
    <w:rsid w:val="00AD1B4C"/>
    <w:rsid w:val="00AD3173"/>
    <w:rsid w:val="00B23E4E"/>
    <w:rsid w:val="00B3772F"/>
    <w:rsid w:val="00B613D2"/>
    <w:rsid w:val="00B73992"/>
    <w:rsid w:val="00B7564E"/>
    <w:rsid w:val="00BB18CC"/>
    <w:rsid w:val="00BF7C01"/>
    <w:rsid w:val="00C43089"/>
    <w:rsid w:val="00C66C69"/>
    <w:rsid w:val="00C7466C"/>
    <w:rsid w:val="00CA19CD"/>
    <w:rsid w:val="00CB2AE4"/>
    <w:rsid w:val="00CE0955"/>
    <w:rsid w:val="00D00D33"/>
    <w:rsid w:val="00D044B3"/>
    <w:rsid w:val="00D17A5D"/>
    <w:rsid w:val="00D45AEC"/>
    <w:rsid w:val="00E057DF"/>
    <w:rsid w:val="00E209F2"/>
    <w:rsid w:val="00E565F4"/>
    <w:rsid w:val="00EB66B1"/>
    <w:rsid w:val="00F0549B"/>
    <w:rsid w:val="00F06F61"/>
    <w:rsid w:val="00F367F1"/>
    <w:rsid w:val="00F419B2"/>
    <w:rsid w:val="00F60620"/>
    <w:rsid w:val="00F63C15"/>
    <w:rsid w:val="00F72F89"/>
    <w:rsid w:val="00F8342E"/>
    <w:rsid w:val="00FA5ABF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486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486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sa.ac.uk/index.php?option=com_studrec&amp;task=show_file&amp;Itemid=233&amp;mnl=14061&amp;href=accreditation_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aa.ac.uk/partners/professional-bod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Isobel Whitehouse</cp:lastModifiedBy>
  <cp:revision>9</cp:revision>
  <cp:lastPrinted>2015-02-25T08:49:00Z</cp:lastPrinted>
  <dcterms:created xsi:type="dcterms:W3CDTF">2015-02-18T11:07:00Z</dcterms:created>
  <dcterms:modified xsi:type="dcterms:W3CDTF">2015-02-25T11:11:00Z</dcterms:modified>
</cp:coreProperties>
</file>