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A8" w:rsidRDefault="001D02C1" w:rsidP="00912C74">
      <w:pPr>
        <w:rPr>
          <w:rFonts w:ascii="Arial" w:hAnsi="Arial" w:cs="Arial"/>
          <w:b/>
          <w:color w:val="000000"/>
          <w:sz w:val="32"/>
          <w:szCs w:val="32"/>
          <w:lang w:val="en-US"/>
        </w:rPr>
      </w:pPr>
      <w:r w:rsidRPr="001D02C1">
        <w:rPr>
          <w:noProof/>
        </w:rPr>
        <w:pict>
          <v:shapetype id="_x0000_t202" coordsize="21600,21600" o:spt="202" path="m,l,21600r21600,l21600,xe">
            <v:stroke joinstyle="miter"/>
            <v:path gradientshapeok="t" o:connecttype="rect"/>
          </v:shapetype>
          <v:shape id="_x0000_s1031" type="#_x0000_t202" style="position:absolute;margin-left:-1in;margin-top:-28.4pt;width:594.85pt;height:194.95pt;z-index:251661312" fillcolor="#3378cb" stroked="f">
            <v:textbox>
              <w:txbxContent>
                <w:p w:rsidR="007E4E38" w:rsidRDefault="007E4E3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E4E38" w:rsidRDefault="007E4E3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rPr>
                      <w:noProof/>
                    </w:rPr>
                    <w:drawing>
                      <wp:inline distT="0" distB="0" distL="0" distR="0">
                        <wp:extent cx="2307102" cy="781986"/>
                        <wp:effectExtent l="0" t="0" r="0" b="0"/>
                        <wp:docPr id="2" name="Picture 0" descr="new-logo-white-transparency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white-transparency small.gif"/>
                                <pic:cNvPicPr/>
                              </pic:nvPicPr>
                              <pic:blipFill>
                                <a:blip r:embed="rId7"/>
                                <a:stretch>
                                  <a:fillRect/>
                                </a:stretch>
                              </pic:blipFill>
                              <pic:spPr>
                                <a:xfrm>
                                  <a:off x="0" y="0"/>
                                  <a:ext cx="2303656" cy="780818"/>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shape>
        </w:pict>
      </w:r>
      <w:r w:rsidR="00912C74">
        <w:tab/>
      </w:r>
      <w:r w:rsidR="00912C74">
        <w:tab/>
      </w:r>
      <w:r w:rsidR="00912C74">
        <w:tab/>
      </w:r>
      <w:r w:rsidR="00912C74">
        <w:tab/>
      </w:r>
      <w:r w:rsidR="00912C74">
        <w:tab/>
      </w:r>
      <w:r w:rsidR="00912C74">
        <w:tab/>
      </w:r>
      <w:r w:rsidR="00912C74">
        <w:tab/>
      </w:r>
      <w:r w:rsidR="00912C74">
        <w:tab/>
      </w:r>
      <w:r w:rsidR="00912C74">
        <w:tab/>
      </w:r>
      <w:r w:rsidR="00912C74">
        <w:tab/>
      </w:r>
    </w:p>
    <w:p w:rsidR="001823A8" w:rsidRDefault="001823A8" w:rsidP="001823A8">
      <w:pPr>
        <w:rPr>
          <w:rFonts w:ascii="Arial" w:hAnsi="Arial" w:cs="Arial"/>
          <w:b/>
          <w:color w:val="000000"/>
          <w:sz w:val="32"/>
          <w:szCs w:val="32"/>
          <w:lang w:val="en-US"/>
        </w:rPr>
      </w:pPr>
    </w:p>
    <w:p w:rsidR="001823A8" w:rsidRDefault="001823A8" w:rsidP="001823A8">
      <w:pPr>
        <w:rPr>
          <w:rFonts w:ascii="Arial" w:hAnsi="Arial" w:cs="Arial"/>
          <w:b/>
          <w:color w:val="000000"/>
          <w:sz w:val="32"/>
          <w:szCs w:val="32"/>
          <w:lang w:val="en-US"/>
        </w:rPr>
      </w:pPr>
    </w:p>
    <w:p w:rsidR="001823A8" w:rsidRDefault="001823A8" w:rsidP="001823A8">
      <w:pPr>
        <w:rPr>
          <w:rFonts w:ascii="Arial" w:hAnsi="Arial" w:cs="Arial"/>
          <w:b/>
          <w:color w:val="000000"/>
          <w:sz w:val="32"/>
          <w:szCs w:val="32"/>
          <w:lang w:val="en-US"/>
        </w:rPr>
      </w:pPr>
    </w:p>
    <w:p w:rsidR="001823A8" w:rsidRDefault="001823A8" w:rsidP="001823A8">
      <w:pPr>
        <w:rPr>
          <w:rFonts w:ascii="Arial" w:hAnsi="Arial" w:cs="Arial"/>
          <w:b/>
          <w:color w:val="000000"/>
          <w:sz w:val="32"/>
          <w:szCs w:val="32"/>
          <w:lang w:val="en-US"/>
        </w:rPr>
      </w:pPr>
    </w:p>
    <w:p w:rsidR="001823A8" w:rsidRDefault="001823A8" w:rsidP="001823A8">
      <w:pPr>
        <w:rPr>
          <w:rFonts w:ascii="Arial" w:hAnsi="Arial" w:cs="Arial"/>
          <w:b/>
          <w:color w:val="000000"/>
          <w:sz w:val="32"/>
          <w:szCs w:val="32"/>
          <w:lang w:val="en-US"/>
        </w:rPr>
      </w:pPr>
    </w:p>
    <w:p w:rsidR="001823A8" w:rsidRDefault="001D02C1" w:rsidP="001823A8">
      <w:pPr>
        <w:rPr>
          <w:rFonts w:ascii="Arial" w:hAnsi="Arial" w:cs="Arial"/>
          <w:b/>
          <w:color w:val="000000"/>
          <w:sz w:val="32"/>
          <w:szCs w:val="32"/>
          <w:lang w:val="en-US"/>
        </w:rPr>
      </w:pPr>
      <w:r>
        <w:rPr>
          <w:rFonts w:ascii="Arial" w:hAnsi="Arial" w:cs="Arial"/>
          <w:b/>
          <w:noProof/>
          <w:color w:val="000000"/>
          <w:sz w:val="32"/>
          <w:szCs w:val="32"/>
        </w:rPr>
        <w:pict>
          <v:shape id="_x0000_s1032" type="#_x0000_t202" style="position:absolute;margin-left:-55.35pt;margin-top:14.05pt;width:168.35pt;height:36.55pt;z-index:251662336" fillcolor="#3378cb" stroked="f" strokecolor="#548dd4 [1951]">
            <v:textbox>
              <w:txbxContent>
                <w:p w:rsidR="007E4E38" w:rsidRPr="00767312" w:rsidRDefault="007E4E38">
                  <w:pPr>
                    <w:rPr>
                      <w:rFonts w:ascii="Arial" w:hAnsi="Arial" w:cs="Arial"/>
                      <w:color w:val="FFFFFF" w:themeColor="background1"/>
                      <w:sz w:val="32"/>
                      <w:szCs w:val="32"/>
                    </w:rPr>
                  </w:pPr>
                </w:p>
              </w:txbxContent>
            </v:textbox>
          </v:shape>
        </w:pict>
      </w:r>
    </w:p>
    <w:p w:rsidR="001823A8" w:rsidRDefault="001823A8" w:rsidP="001823A8">
      <w:pPr>
        <w:rPr>
          <w:rFonts w:ascii="Arial" w:hAnsi="Arial" w:cs="Arial"/>
          <w:b/>
          <w:color w:val="000000"/>
          <w:sz w:val="32"/>
          <w:szCs w:val="32"/>
          <w:lang w:val="en-US"/>
        </w:rPr>
      </w:pPr>
    </w:p>
    <w:p w:rsidR="001823A8" w:rsidRDefault="001823A8" w:rsidP="001823A8">
      <w:pPr>
        <w:rPr>
          <w:rFonts w:ascii="Arial" w:hAnsi="Arial" w:cs="Arial"/>
          <w:b/>
          <w:color w:val="000000"/>
          <w:sz w:val="32"/>
          <w:szCs w:val="32"/>
          <w:lang w:val="en-US"/>
        </w:rPr>
      </w:pPr>
    </w:p>
    <w:p w:rsidR="001823A8" w:rsidRDefault="001823A8" w:rsidP="001823A8">
      <w:pPr>
        <w:rPr>
          <w:rFonts w:ascii="Arial" w:hAnsi="Arial" w:cs="Arial"/>
          <w:b/>
          <w:color w:val="000000"/>
          <w:sz w:val="32"/>
          <w:szCs w:val="32"/>
          <w:lang w:val="en-US"/>
        </w:rPr>
      </w:pPr>
    </w:p>
    <w:p w:rsidR="001823A8" w:rsidRPr="001E4A27" w:rsidRDefault="001823A8" w:rsidP="007E4E38">
      <w:pPr>
        <w:ind w:right="686"/>
        <w:rPr>
          <w:rFonts w:ascii="Arial" w:hAnsi="Arial" w:cs="Arial"/>
          <w:sz w:val="60"/>
          <w:szCs w:val="60"/>
        </w:rPr>
      </w:pPr>
      <w:r w:rsidRPr="001E4A27">
        <w:rPr>
          <w:rFonts w:ascii="Arial" w:hAnsi="Arial" w:cs="Arial"/>
          <w:b/>
          <w:color w:val="000000"/>
          <w:sz w:val="60"/>
          <w:szCs w:val="60"/>
          <w:lang w:val="en-US"/>
        </w:rPr>
        <w:t>Responding to student or staff requests for flexibility on grounds of religion or belief</w:t>
      </w:r>
    </w:p>
    <w:p w:rsidR="00D523F1" w:rsidRPr="00163DE6" w:rsidRDefault="00D523F1" w:rsidP="007E4E38">
      <w:pPr>
        <w:ind w:right="686"/>
        <w:rPr>
          <w:sz w:val="22"/>
          <w:szCs w:val="22"/>
        </w:rPr>
      </w:pPr>
    </w:p>
    <w:p w:rsidR="007E4E38" w:rsidRDefault="007E4E38" w:rsidP="007E4E38">
      <w:pPr>
        <w:ind w:right="686"/>
        <w:rPr>
          <w:rFonts w:ascii="Arial" w:hAnsi="Arial" w:cs="Arial"/>
          <w:b/>
          <w:bCs/>
          <w:i/>
          <w:iCs/>
          <w:color w:val="000000"/>
          <w:sz w:val="36"/>
          <w:szCs w:val="36"/>
          <w:lang w:val="en-US"/>
        </w:rPr>
      </w:pPr>
    </w:p>
    <w:p w:rsidR="001823A8" w:rsidRPr="007E4E38" w:rsidRDefault="001823A8" w:rsidP="007E4E38">
      <w:pPr>
        <w:ind w:right="686"/>
        <w:rPr>
          <w:rFonts w:ascii="Arial" w:hAnsi="Arial" w:cs="Arial"/>
          <w:color w:val="000000"/>
          <w:sz w:val="36"/>
          <w:szCs w:val="36"/>
          <w:lang w:val="en-US"/>
        </w:rPr>
      </w:pPr>
      <w:r w:rsidRPr="007E4E38">
        <w:rPr>
          <w:rFonts w:ascii="Arial" w:hAnsi="Arial" w:cs="Arial"/>
          <w:b/>
          <w:bCs/>
          <w:iCs/>
          <w:color w:val="000000"/>
          <w:sz w:val="36"/>
          <w:szCs w:val="36"/>
          <w:lang w:val="en-US"/>
        </w:rPr>
        <w:t>Background</w:t>
      </w:r>
    </w:p>
    <w:p w:rsidR="001823A8" w:rsidRPr="007E4E38" w:rsidRDefault="001823A8" w:rsidP="007E4E38">
      <w:pPr>
        <w:ind w:right="686"/>
        <w:rPr>
          <w:rFonts w:ascii="Arial" w:hAnsi="Arial" w:cs="Arial"/>
          <w:color w:val="000000"/>
          <w:lang w:val="en-US"/>
        </w:rPr>
      </w:pPr>
    </w:p>
    <w:p w:rsidR="001823A8" w:rsidRPr="007E4E38" w:rsidRDefault="001823A8" w:rsidP="007E4E38">
      <w:pPr>
        <w:ind w:right="686"/>
        <w:rPr>
          <w:rFonts w:ascii="Arial" w:hAnsi="Arial" w:cs="Arial"/>
          <w:color w:val="000000"/>
          <w:lang w:val="en-US"/>
        </w:rPr>
      </w:pPr>
      <w:r w:rsidRPr="007E4E38">
        <w:rPr>
          <w:rFonts w:ascii="Arial" w:hAnsi="Arial" w:cs="Arial"/>
          <w:color w:val="000000"/>
          <w:lang w:val="en-US"/>
        </w:rPr>
        <w:t xml:space="preserve">The Equality </w:t>
      </w:r>
      <w:r w:rsidR="00824A8F" w:rsidRPr="007E4E38">
        <w:rPr>
          <w:rFonts w:ascii="Arial" w:hAnsi="Arial" w:cs="Arial"/>
          <w:color w:val="000000"/>
          <w:lang w:val="en-US"/>
        </w:rPr>
        <w:t>Policy Unit</w:t>
      </w:r>
      <w:r w:rsidRPr="007E4E38">
        <w:rPr>
          <w:rFonts w:ascii="Arial" w:hAnsi="Arial" w:cs="Arial"/>
          <w:color w:val="000000"/>
          <w:lang w:val="en-US"/>
        </w:rPr>
        <w:t>’s recommendations relating to timetabling and work scheduling are based on the University’s commitment to promote equality and respect the religious belief or non-belief of all staff and students.  This guidance also flows from the value of “inclusiveness (diversity, equal opportunities and access)” – one of the five core values that are integral to the University’s strategy.</w:t>
      </w:r>
    </w:p>
    <w:p w:rsidR="001823A8" w:rsidRPr="007E4E38" w:rsidRDefault="001823A8" w:rsidP="007E4E38">
      <w:pPr>
        <w:ind w:right="686"/>
        <w:rPr>
          <w:rFonts w:ascii="Arial" w:hAnsi="Arial" w:cs="Arial"/>
          <w:color w:val="000000"/>
          <w:lang w:val="en-US"/>
        </w:rPr>
      </w:pPr>
    </w:p>
    <w:p w:rsidR="001823A8" w:rsidRPr="007E4E38" w:rsidRDefault="001823A8" w:rsidP="007E4E38">
      <w:pPr>
        <w:ind w:right="686"/>
        <w:rPr>
          <w:rFonts w:ascii="Arial" w:hAnsi="Arial" w:cs="Arial"/>
          <w:color w:val="000000"/>
          <w:lang w:val="en-US"/>
        </w:rPr>
      </w:pPr>
      <w:r w:rsidRPr="007E4E38">
        <w:rPr>
          <w:rFonts w:ascii="Arial" w:hAnsi="Arial" w:cs="Arial"/>
          <w:color w:val="000000"/>
          <w:lang w:val="en-US"/>
        </w:rPr>
        <w:t xml:space="preserve">Our legal obligations are also crucial here.  By law, the University must not treat individuals less </w:t>
      </w:r>
      <w:proofErr w:type="spellStart"/>
      <w:r w:rsidRPr="007E4E38">
        <w:rPr>
          <w:rFonts w:ascii="Arial" w:hAnsi="Arial" w:cs="Arial"/>
          <w:color w:val="000000"/>
          <w:lang w:val="en-US"/>
        </w:rPr>
        <w:t>favourably</w:t>
      </w:r>
      <w:proofErr w:type="spellEnd"/>
      <w:r w:rsidRPr="007E4E38">
        <w:rPr>
          <w:rFonts w:ascii="Arial" w:hAnsi="Arial" w:cs="Arial"/>
          <w:color w:val="000000"/>
          <w:lang w:val="en-US"/>
        </w:rPr>
        <w:t xml:space="preserve"> than others on grounds of religion, belief or non-belief and we must ensure that our practices and provisions do not (even inadvertently) disadvantage people because of their religious belief, or lack thereof.  In some situations, it is clear that a refusal to take a flexible approach in terms of timetabling, work scheduling or annual leave requests can amount to unlawful discrimination on grounds of religion.  For more information about anti-discrimination law, visit </w:t>
      </w:r>
      <w:hyperlink r:id="rId8" w:history="1">
        <w:r w:rsidRPr="007E4E38">
          <w:rPr>
            <w:rStyle w:val="Hyperlink"/>
            <w:rFonts w:ascii="Arial" w:hAnsi="Arial"/>
            <w:lang w:val="en-US"/>
          </w:rPr>
          <w:t>www.equality.leeds.ac.uk</w:t>
        </w:r>
      </w:hyperlink>
      <w:r w:rsidRPr="007E4E38">
        <w:rPr>
          <w:rFonts w:ascii="Arial" w:hAnsi="Arial" w:cs="Arial"/>
          <w:lang w:val="en-US"/>
        </w:rPr>
        <w:t>.</w:t>
      </w:r>
      <w:r w:rsidRPr="007E4E38">
        <w:rPr>
          <w:rFonts w:ascii="Arial" w:hAnsi="Arial" w:cs="Arial"/>
          <w:color w:val="000000"/>
          <w:lang w:val="en-US"/>
        </w:rPr>
        <w:t xml:space="preserve"> </w:t>
      </w:r>
    </w:p>
    <w:p w:rsidR="001823A8" w:rsidRPr="007E4E38" w:rsidRDefault="001823A8" w:rsidP="007E4E38">
      <w:pPr>
        <w:ind w:right="686"/>
        <w:rPr>
          <w:rFonts w:ascii="Arial" w:hAnsi="Arial" w:cs="Arial"/>
          <w:color w:val="000000"/>
          <w:lang w:val="en-US"/>
        </w:rPr>
      </w:pPr>
    </w:p>
    <w:p w:rsidR="001823A8" w:rsidRPr="007E4E38" w:rsidRDefault="001823A8" w:rsidP="007E4E38">
      <w:pPr>
        <w:ind w:right="686"/>
        <w:rPr>
          <w:rFonts w:ascii="Arial" w:hAnsi="Arial" w:cs="Arial"/>
          <w:color w:val="000000"/>
          <w:lang w:val="en-US"/>
        </w:rPr>
      </w:pPr>
      <w:r w:rsidRPr="007E4E38">
        <w:rPr>
          <w:rFonts w:ascii="Arial" w:hAnsi="Arial" w:cs="Arial"/>
          <w:color w:val="000000"/>
          <w:lang w:val="en-US"/>
        </w:rPr>
        <w:t xml:space="preserve">Accordingly our institutional timetable is set to accommodate religious observance where possible.  We appreciate, however, that issues often feel or become more complex at an individual school or service level.  </w:t>
      </w:r>
    </w:p>
    <w:p w:rsidR="00163DE6" w:rsidRDefault="00163DE6" w:rsidP="007E4E38">
      <w:pPr>
        <w:ind w:right="686"/>
        <w:rPr>
          <w:rFonts w:ascii="Arial" w:hAnsi="Arial" w:cs="Arial"/>
          <w:b/>
          <w:bCs/>
          <w:i/>
          <w:iCs/>
          <w:color w:val="000000"/>
          <w:lang w:val="en-US"/>
        </w:rPr>
      </w:pPr>
    </w:p>
    <w:p w:rsidR="007E4E38" w:rsidRPr="007E4E38" w:rsidRDefault="007E4E38" w:rsidP="007E4E38">
      <w:pPr>
        <w:ind w:right="686"/>
        <w:rPr>
          <w:rFonts w:ascii="Arial" w:hAnsi="Arial" w:cs="Arial"/>
          <w:b/>
          <w:bCs/>
          <w:i/>
          <w:iCs/>
          <w:color w:val="000000"/>
          <w:lang w:val="en-US"/>
        </w:rPr>
      </w:pPr>
    </w:p>
    <w:p w:rsidR="001823A8" w:rsidRPr="007E4E38" w:rsidRDefault="001823A8" w:rsidP="007E4E38">
      <w:pPr>
        <w:ind w:right="686"/>
        <w:rPr>
          <w:rFonts w:ascii="Arial" w:hAnsi="Arial" w:cs="Arial"/>
          <w:b/>
          <w:bCs/>
          <w:iCs/>
          <w:color w:val="000000"/>
          <w:sz w:val="36"/>
          <w:szCs w:val="36"/>
          <w:lang w:val="en-US"/>
        </w:rPr>
      </w:pPr>
      <w:r w:rsidRPr="007E4E38">
        <w:rPr>
          <w:rFonts w:ascii="Arial" w:hAnsi="Arial" w:cs="Arial"/>
          <w:b/>
          <w:bCs/>
          <w:iCs/>
          <w:color w:val="000000"/>
          <w:sz w:val="36"/>
          <w:szCs w:val="36"/>
          <w:lang w:val="en-US"/>
        </w:rPr>
        <w:t>Dealing with individual requests</w:t>
      </w:r>
    </w:p>
    <w:p w:rsidR="001823A8" w:rsidRPr="007E4E38" w:rsidRDefault="001823A8" w:rsidP="007E4E38">
      <w:pPr>
        <w:ind w:right="686"/>
        <w:rPr>
          <w:rFonts w:ascii="Arial" w:hAnsi="Arial" w:cs="Arial"/>
          <w:color w:val="000000"/>
          <w:lang w:val="en-US"/>
        </w:rPr>
      </w:pPr>
    </w:p>
    <w:p w:rsidR="001823A8" w:rsidRPr="007E4E38" w:rsidRDefault="001823A8" w:rsidP="007E4E38">
      <w:pPr>
        <w:ind w:right="686"/>
        <w:rPr>
          <w:rFonts w:ascii="Arial" w:hAnsi="Arial" w:cs="Arial"/>
          <w:b/>
          <w:color w:val="000000"/>
          <w:lang w:val="en-US"/>
        </w:rPr>
      </w:pPr>
      <w:r w:rsidRPr="007E4E38">
        <w:rPr>
          <w:rFonts w:ascii="Arial" w:hAnsi="Arial" w:cs="Arial"/>
          <w:color w:val="000000"/>
          <w:lang w:val="en-US"/>
        </w:rPr>
        <w:t>When an individual member of staff or student requests an adjustment to their timetable or the scheduling of a particular aspect of their employment or course on grounds of religion or belief, we recommend the initial response of the relevant area is to take all reasonable steps to try to accommodate these requests.  </w:t>
      </w:r>
      <w:r w:rsidRPr="007E4E38">
        <w:rPr>
          <w:rFonts w:ascii="Arial" w:hAnsi="Arial" w:cs="Arial"/>
          <w:b/>
          <w:color w:val="000000"/>
          <w:lang w:val="en-US"/>
        </w:rPr>
        <w:t xml:space="preserve">In essence, we encourage all parts of the University to try to foster and demonstrate an instinctive response which is flexible and takes full account of the benefits to the </w:t>
      </w:r>
      <w:proofErr w:type="spellStart"/>
      <w:r w:rsidRPr="007E4E38">
        <w:rPr>
          <w:rFonts w:ascii="Arial" w:hAnsi="Arial" w:cs="Arial"/>
          <w:b/>
          <w:color w:val="000000"/>
          <w:lang w:val="en-US"/>
        </w:rPr>
        <w:t>organisation</w:t>
      </w:r>
      <w:proofErr w:type="spellEnd"/>
      <w:r w:rsidRPr="007E4E38">
        <w:rPr>
          <w:rFonts w:ascii="Arial" w:hAnsi="Arial" w:cs="Arial"/>
          <w:b/>
          <w:color w:val="000000"/>
          <w:lang w:val="en-US"/>
        </w:rPr>
        <w:t xml:space="preserve"> of meeting, rather than rejecting, these requests.  </w:t>
      </w:r>
    </w:p>
    <w:p w:rsidR="001823A8" w:rsidRPr="007E4E38" w:rsidRDefault="001823A8" w:rsidP="007E4E38">
      <w:pPr>
        <w:ind w:right="686"/>
        <w:rPr>
          <w:color w:val="000000"/>
          <w:lang w:val="en-US"/>
        </w:rPr>
      </w:pPr>
      <w:r w:rsidRPr="007E4E38">
        <w:rPr>
          <w:color w:val="000000"/>
          <w:lang w:val="en-US"/>
        </w:rPr>
        <w:t> </w:t>
      </w:r>
    </w:p>
    <w:p w:rsidR="001823A8" w:rsidRPr="007E4E38" w:rsidRDefault="001823A8" w:rsidP="007E4E38">
      <w:pPr>
        <w:ind w:right="686"/>
        <w:rPr>
          <w:rFonts w:ascii="Arial" w:hAnsi="Arial" w:cs="Arial"/>
          <w:color w:val="000000"/>
          <w:lang w:val="en-US"/>
        </w:rPr>
      </w:pPr>
      <w:r w:rsidRPr="007E4E38">
        <w:rPr>
          <w:rFonts w:ascii="Arial" w:hAnsi="Arial" w:cs="Arial"/>
          <w:color w:val="000000"/>
          <w:lang w:val="en-US"/>
        </w:rPr>
        <w:lastRenderedPageBreak/>
        <w:t>At the same time, it is entirely reasonable for us to require staff or students to provide sufficient notice of their religious observance requirements (providing these timescales are well-</w:t>
      </w:r>
      <w:proofErr w:type="spellStart"/>
      <w:r w:rsidRPr="007E4E38">
        <w:rPr>
          <w:rFonts w:ascii="Arial" w:hAnsi="Arial" w:cs="Arial"/>
          <w:color w:val="000000"/>
          <w:lang w:val="en-US"/>
        </w:rPr>
        <w:t>publicised</w:t>
      </w:r>
      <w:proofErr w:type="spellEnd"/>
      <w:r w:rsidRPr="007E4E38">
        <w:rPr>
          <w:rFonts w:ascii="Arial" w:hAnsi="Arial" w:cs="Arial"/>
          <w:color w:val="000000"/>
          <w:lang w:val="en-US"/>
        </w:rPr>
        <w:t xml:space="preserve">).  </w:t>
      </w:r>
    </w:p>
    <w:p w:rsidR="001823A8" w:rsidRPr="007E4E38" w:rsidRDefault="001823A8" w:rsidP="007E4E38">
      <w:pPr>
        <w:ind w:right="686"/>
        <w:rPr>
          <w:rFonts w:ascii="Arial" w:hAnsi="Arial" w:cs="Arial"/>
          <w:color w:val="000000"/>
          <w:lang w:val="en-US"/>
        </w:rPr>
      </w:pPr>
    </w:p>
    <w:p w:rsidR="00F43154" w:rsidRPr="007E4E38" w:rsidRDefault="00F43154" w:rsidP="007E4E38">
      <w:pPr>
        <w:ind w:right="686"/>
        <w:rPr>
          <w:rFonts w:ascii="Arial" w:hAnsi="Arial" w:cs="Arial"/>
          <w:color w:val="000000"/>
          <w:lang w:val="en-US"/>
        </w:rPr>
      </w:pPr>
      <w:r w:rsidRPr="007E4E38">
        <w:rPr>
          <w:rFonts w:ascii="Arial" w:hAnsi="Arial" w:cs="Arial"/>
          <w:color w:val="000000"/>
          <w:lang w:val="en-US"/>
        </w:rPr>
        <w:t xml:space="preserve">Occasionally it will not be possible, despite our best endeavors, to meet an individual request.  In these situations (which we suggest should be the exception, rather than the norm), it is important, and generally considered good anti-discriminatory practice, to document clearly why it was not reasonable or practicable to meet the request.  You can also seek advice from </w:t>
      </w:r>
      <w:r w:rsidR="001E4A27" w:rsidRPr="007E4E38">
        <w:rPr>
          <w:rFonts w:ascii="Arial" w:hAnsi="Arial" w:cs="Arial"/>
          <w:color w:val="000000"/>
          <w:lang w:val="en-US"/>
        </w:rPr>
        <w:t>t</w:t>
      </w:r>
      <w:r w:rsidRPr="007E4E38">
        <w:rPr>
          <w:rFonts w:ascii="Arial" w:hAnsi="Arial" w:cs="Arial"/>
          <w:color w:val="000000"/>
          <w:lang w:val="en-US"/>
        </w:rPr>
        <w:t xml:space="preserve">he Equality </w:t>
      </w:r>
      <w:r w:rsidR="00824A8F" w:rsidRPr="007E4E38">
        <w:rPr>
          <w:rFonts w:ascii="Arial" w:hAnsi="Arial" w:cs="Arial"/>
          <w:color w:val="000000"/>
          <w:lang w:val="en-US"/>
        </w:rPr>
        <w:t>Policy Unit</w:t>
      </w:r>
      <w:r w:rsidRPr="007E4E38">
        <w:rPr>
          <w:rFonts w:ascii="Arial" w:hAnsi="Arial" w:cs="Arial"/>
          <w:color w:val="000000"/>
          <w:lang w:val="en-US"/>
        </w:rPr>
        <w:t xml:space="preserve"> to assist you in such circumstances.</w:t>
      </w:r>
    </w:p>
    <w:p w:rsidR="00CE0CA2" w:rsidRPr="007E4E38" w:rsidRDefault="00CE0CA2" w:rsidP="007E4E38">
      <w:pPr>
        <w:ind w:right="686"/>
        <w:rPr>
          <w:rFonts w:ascii="Arial" w:hAnsi="Arial" w:cs="Arial"/>
          <w:color w:val="000000"/>
          <w:lang w:val="en-US"/>
        </w:rPr>
      </w:pPr>
    </w:p>
    <w:p w:rsidR="001E4A27" w:rsidRPr="007E4E38" w:rsidRDefault="001E4A27" w:rsidP="007E4E38">
      <w:pPr>
        <w:ind w:right="686"/>
        <w:rPr>
          <w:rFonts w:ascii="Arial" w:hAnsi="Arial" w:cs="Arial"/>
          <w:b/>
          <w:bCs/>
          <w:i/>
          <w:iCs/>
          <w:color w:val="000000"/>
          <w:lang w:val="en-US"/>
        </w:rPr>
      </w:pPr>
    </w:p>
    <w:p w:rsidR="001823A8" w:rsidRPr="007E4E38" w:rsidRDefault="001823A8" w:rsidP="007E4E38">
      <w:pPr>
        <w:ind w:right="686"/>
        <w:rPr>
          <w:rFonts w:ascii="Arial" w:hAnsi="Arial" w:cs="Arial"/>
          <w:b/>
          <w:bCs/>
          <w:iCs/>
          <w:color w:val="000000"/>
          <w:sz w:val="36"/>
          <w:szCs w:val="36"/>
          <w:lang w:val="en-US"/>
        </w:rPr>
      </w:pPr>
      <w:r w:rsidRPr="007E4E38">
        <w:rPr>
          <w:rFonts w:ascii="Arial" w:hAnsi="Arial" w:cs="Arial"/>
          <w:b/>
          <w:bCs/>
          <w:iCs/>
          <w:color w:val="000000"/>
          <w:sz w:val="36"/>
          <w:szCs w:val="36"/>
          <w:lang w:val="en-US"/>
        </w:rPr>
        <w:t>Some practical suggestions</w:t>
      </w:r>
    </w:p>
    <w:p w:rsidR="001823A8" w:rsidRPr="007E4E38" w:rsidRDefault="001823A8" w:rsidP="007E4E38">
      <w:pPr>
        <w:tabs>
          <w:tab w:val="left" w:pos="964"/>
        </w:tabs>
        <w:ind w:right="686"/>
        <w:rPr>
          <w:rFonts w:ascii="Arial" w:hAnsi="Arial" w:cs="Arial"/>
          <w:color w:val="000000"/>
          <w:lang w:val="en-US"/>
        </w:rPr>
      </w:pPr>
    </w:p>
    <w:p w:rsidR="001823A8" w:rsidRPr="007E4E38" w:rsidRDefault="001823A8" w:rsidP="007E4E38">
      <w:pPr>
        <w:tabs>
          <w:tab w:val="left" w:pos="964"/>
        </w:tabs>
        <w:ind w:right="686"/>
        <w:rPr>
          <w:rFonts w:ascii="Arial" w:hAnsi="Arial" w:cs="Arial"/>
          <w:color w:val="000000"/>
          <w:lang w:val="en-US"/>
        </w:rPr>
      </w:pPr>
      <w:r w:rsidRPr="007E4E38">
        <w:rPr>
          <w:rFonts w:ascii="Arial" w:hAnsi="Arial" w:cs="Arial"/>
          <w:color w:val="000000"/>
          <w:lang w:val="en-US"/>
        </w:rPr>
        <w:t>If you receive a request for flexibility from a student or staff member, here are some practical steps you might wish to consider taking:</w:t>
      </w:r>
    </w:p>
    <w:p w:rsidR="001823A8" w:rsidRPr="007E4E38" w:rsidRDefault="001823A8" w:rsidP="007E4E38">
      <w:pPr>
        <w:tabs>
          <w:tab w:val="left" w:pos="964"/>
        </w:tabs>
        <w:ind w:right="686"/>
        <w:rPr>
          <w:rFonts w:ascii="Arial" w:hAnsi="Arial" w:cs="Arial"/>
          <w:color w:val="000000"/>
          <w:lang w:val="en-US"/>
        </w:rPr>
      </w:pPr>
    </w:p>
    <w:p w:rsidR="001823A8" w:rsidRPr="007E4E38" w:rsidRDefault="001823A8" w:rsidP="007E4E38">
      <w:pPr>
        <w:numPr>
          <w:ilvl w:val="0"/>
          <w:numId w:val="6"/>
        </w:numPr>
        <w:tabs>
          <w:tab w:val="left" w:pos="964"/>
        </w:tabs>
        <w:ind w:left="0" w:right="686"/>
        <w:rPr>
          <w:rFonts w:ascii="Arial" w:hAnsi="Arial" w:cs="Arial"/>
        </w:rPr>
      </w:pPr>
      <w:r w:rsidRPr="007E4E38">
        <w:rPr>
          <w:rFonts w:ascii="Arial" w:hAnsi="Arial" w:cs="Arial"/>
          <w:b/>
          <w:bCs/>
          <w:lang w:val="en-US"/>
        </w:rPr>
        <w:t>Do some research</w:t>
      </w:r>
      <w:r w:rsidRPr="007E4E38">
        <w:rPr>
          <w:rFonts w:ascii="Arial" w:hAnsi="Arial" w:cs="Arial"/>
          <w:lang w:val="en-US"/>
        </w:rPr>
        <w:t xml:space="preserve"> to understand the relevant religious practice or celebration issues that are being </w:t>
      </w:r>
      <w:proofErr w:type="gramStart"/>
      <w:r w:rsidR="00824A8F" w:rsidRPr="007E4E38">
        <w:rPr>
          <w:rFonts w:ascii="Arial" w:hAnsi="Arial" w:cs="Arial"/>
          <w:lang w:val="en-US"/>
        </w:rPr>
        <w:t>raised.</w:t>
      </w:r>
      <w:proofErr w:type="gramEnd"/>
      <w:r w:rsidRPr="007E4E38">
        <w:rPr>
          <w:rFonts w:ascii="Arial" w:hAnsi="Arial" w:cs="Arial"/>
          <w:lang w:val="en-US"/>
        </w:rPr>
        <w:t xml:space="preserve">  As a starting point, you might wish to consult the </w:t>
      </w:r>
      <w:smartTag w:uri="urn:schemas-microsoft-com:office:smarttags" w:element="stockticker">
        <w:r w:rsidRPr="007E4E38">
          <w:rPr>
            <w:rFonts w:ascii="Arial" w:hAnsi="Arial" w:cs="Arial"/>
            <w:lang w:val="en-US"/>
          </w:rPr>
          <w:t>ACAS</w:t>
        </w:r>
      </w:smartTag>
      <w:r w:rsidRPr="007E4E38">
        <w:rPr>
          <w:rFonts w:ascii="Arial" w:hAnsi="Arial" w:cs="Arial"/>
          <w:lang w:val="en-US"/>
        </w:rPr>
        <w:t xml:space="preserve"> guide on religion, </w:t>
      </w:r>
      <w:r w:rsidRPr="007E4E38">
        <w:rPr>
          <w:rFonts w:ascii="Arial" w:hAnsi="Arial" w:cs="Arial"/>
        </w:rPr>
        <w:t xml:space="preserve">entitled </w:t>
      </w:r>
      <w:hyperlink r:id="rId9" w:history="1">
        <w:r w:rsidRPr="007E4E38">
          <w:rPr>
            <w:rStyle w:val="Hyperlink"/>
            <w:rFonts w:ascii="Arial" w:hAnsi="Arial"/>
          </w:rPr>
          <w:t>Religion or Belief and the Workplace</w:t>
        </w:r>
      </w:hyperlink>
      <w:r w:rsidRPr="007E4E38">
        <w:rPr>
          <w:rFonts w:ascii="Arial" w:hAnsi="Arial" w:cs="Arial"/>
          <w:b/>
          <w:bCs/>
        </w:rPr>
        <w:t>,</w:t>
      </w:r>
      <w:r w:rsidRPr="007E4E38">
        <w:rPr>
          <w:rFonts w:ascii="Arial" w:hAnsi="Arial" w:cs="Arial"/>
        </w:rPr>
        <w:t xml:space="preserve"> or the </w:t>
      </w:r>
      <w:hyperlink r:id="rId10" w:history="1">
        <w:r w:rsidRPr="007E4E38">
          <w:rPr>
            <w:rStyle w:val="Hyperlink"/>
            <w:rFonts w:ascii="Arial" w:hAnsi="Arial"/>
          </w:rPr>
          <w:t xml:space="preserve">BBC’s </w:t>
        </w:r>
        <w:proofErr w:type="spellStart"/>
        <w:r w:rsidRPr="007E4E38">
          <w:rPr>
            <w:rStyle w:val="Hyperlink"/>
            <w:rFonts w:ascii="Arial" w:hAnsi="Arial"/>
          </w:rPr>
          <w:t>multifaith</w:t>
        </w:r>
        <w:proofErr w:type="spellEnd"/>
        <w:r w:rsidRPr="007E4E38">
          <w:rPr>
            <w:rStyle w:val="Hyperlink"/>
            <w:rFonts w:ascii="Arial" w:hAnsi="Arial"/>
          </w:rPr>
          <w:t xml:space="preserve"> calendar</w:t>
        </w:r>
      </w:hyperlink>
      <w:r w:rsidRPr="007E4E38">
        <w:rPr>
          <w:rFonts w:ascii="Arial" w:hAnsi="Arial" w:cs="Arial"/>
        </w:rPr>
        <w:t>.</w:t>
      </w:r>
      <w:r w:rsidRPr="007E4E38">
        <w:rPr>
          <w:rFonts w:ascii="Arial" w:hAnsi="Arial" w:cs="Arial"/>
        </w:rPr>
        <w:br/>
      </w:r>
    </w:p>
    <w:p w:rsidR="001823A8" w:rsidRPr="007E4E38" w:rsidRDefault="001823A8" w:rsidP="007E4E38">
      <w:pPr>
        <w:numPr>
          <w:ilvl w:val="0"/>
          <w:numId w:val="6"/>
        </w:numPr>
        <w:tabs>
          <w:tab w:val="left" w:pos="964"/>
        </w:tabs>
        <w:ind w:left="0" w:right="686"/>
        <w:rPr>
          <w:rFonts w:ascii="Arial" w:hAnsi="Arial" w:cs="Arial"/>
        </w:rPr>
      </w:pPr>
      <w:r w:rsidRPr="007E4E38">
        <w:rPr>
          <w:rFonts w:ascii="Arial" w:hAnsi="Arial" w:cs="Arial"/>
          <w:b/>
          <w:bCs/>
        </w:rPr>
        <w:t>Consult people.</w:t>
      </w:r>
      <w:r w:rsidRPr="007E4E38">
        <w:rPr>
          <w:rFonts w:ascii="Arial" w:hAnsi="Arial" w:cs="Arial"/>
        </w:rPr>
        <w:t xml:space="preserve">  The best practical solutions to meet everyone’s needs often arise out of open consultation and discussion.  What starts as a blanket request to be absent on particular days might turn into a request for a quiet room to observe prayer on those days.  Make sure your starting point here is to want to understand and be flexible where possible – rather than seeing the request as a nuisance.  At the same time, don’t be afraid to explain the practical </w:t>
      </w:r>
      <w:r w:rsidR="00F43154" w:rsidRPr="007E4E38">
        <w:rPr>
          <w:rFonts w:ascii="Arial" w:hAnsi="Arial" w:cs="Arial"/>
        </w:rPr>
        <w:t>constraints</w:t>
      </w:r>
      <w:r w:rsidRPr="007E4E38">
        <w:rPr>
          <w:rFonts w:ascii="Arial" w:hAnsi="Arial" w:cs="Arial"/>
        </w:rPr>
        <w:t xml:space="preserve"> you are under, which might limit how flexible you can be, so long as you do this openly and are prepared to listen.</w:t>
      </w:r>
      <w:r w:rsidRPr="007E4E38">
        <w:rPr>
          <w:rFonts w:ascii="Arial" w:hAnsi="Arial" w:cs="Arial"/>
        </w:rPr>
        <w:br/>
      </w:r>
    </w:p>
    <w:p w:rsidR="001823A8" w:rsidRPr="007E4E38" w:rsidRDefault="001823A8" w:rsidP="007E4E38">
      <w:pPr>
        <w:numPr>
          <w:ilvl w:val="0"/>
          <w:numId w:val="6"/>
        </w:numPr>
        <w:tabs>
          <w:tab w:val="left" w:pos="964"/>
        </w:tabs>
        <w:ind w:left="0" w:right="686"/>
        <w:rPr>
          <w:rFonts w:ascii="Arial" w:hAnsi="Arial" w:cs="Arial"/>
        </w:rPr>
      </w:pPr>
      <w:r w:rsidRPr="007E4E38">
        <w:rPr>
          <w:rFonts w:ascii="Arial" w:hAnsi="Arial" w:cs="Arial"/>
          <w:b/>
          <w:bCs/>
        </w:rPr>
        <w:t>Consider bringing in an external person</w:t>
      </w:r>
      <w:r w:rsidRPr="007E4E38">
        <w:rPr>
          <w:rFonts w:ascii="Arial" w:hAnsi="Arial" w:cs="Arial"/>
        </w:rPr>
        <w:t xml:space="preserve"> to facilitate a discussion or give a presentation.  This approach can work particularly well in a sit</w:t>
      </w:r>
      <w:r w:rsidR="00F43154" w:rsidRPr="007E4E38">
        <w:rPr>
          <w:rFonts w:ascii="Arial" w:hAnsi="Arial" w:cs="Arial"/>
        </w:rPr>
        <w:t>u</w:t>
      </w:r>
      <w:r w:rsidRPr="007E4E38">
        <w:rPr>
          <w:rFonts w:ascii="Arial" w:hAnsi="Arial" w:cs="Arial"/>
        </w:rPr>
        <w:t>ation in which you have several requests for a particular adjustment – perhaps from several students or staff members.  It can be particularly useful to bring in someone who is from the particular religious or ethnic group in question and can talk from experience about the challenges of aligning practical issues (e.g</w:t>
      </w:r>
      <w:r w:rsidR="00F43154" w:rsidRPr="007E4E38">
        <w:rPr>
          <w:rFonts w:ascii="Arial" w:hAnsi="Arial" w:cs="Arial"/>
        </w:rPr>
        <w:t>.</w:t>
      </w:r>
      <w:r w:rsidRPr="007E4E38">
        <w:rPr>
          <w:rFonts w:ascii="Arial" w:hAnsi="Arial" w:cs="Arial"/>
        </w:rPr>
        <w:t xml:space="preserve"> the business needs of the University, health and safety issues, etc.) with issues relating to the practice of a particular religion.</w:t>
      </w:r>
      <w:r w:rsidRPr="007E4E38">
        <w:rPr>
          <w:rFonts w:ascii="Arial" w:hAnsi="Arial" w:cs="Arial"/>
        </w:rPr>
        <w:br/>
      </w:r>
    </w:p>
    <w:p w:rsidR="001823A8" w:rsidRPr="007E4E38" w:rsidRDefault="001823A8" w:rsidP="007E4E38">
      <w:pPr>
        <w:numPr>
          <w:ilvl w:val="0"/>
          <w:numId w:val="6"/>
        </w:numPr>
        <w:tabs>
          <w:tab w:val="left" w:pos="964"/>
        </w:tabs>
        <w:ind w:left="0" w:right="686"/>
        <w:rPr>
          <w:rFonts w:ascii="Arial" w:hAnsi="Arial" w:cs="Arial"/>
        </w:rPr>
      </w:pPr>
      <w:r w:rsidRPr="007E4E38">
        <w:rPr>
          <w:rFonts w:ascii="Arial" w:hAnsi="Arial" w:cs="Arial"/>
          <w:b/>
          <w:bCs/>
        </w:rPr>
        <w:t xml:space="preserve">Consider bringing together a small group of people to find a way forward or, alternatively, open up a discussion about the issue at a team meeting. </w:t>
      </w:r>
      <w:r w:rsidRPr="007E4E38">
        <w:rPr>
          <w:rFonts w:ascii="Arial" w:hAnsi="Arial" w:cs="Arial"/>
        </w:rPr>
        <w:t xml:space="preserve"> When doing this, you should ensure that you do not leave the person or people who are making the request feel exposed and isolated. Generally, it is a good idea to consult the person or people concerned on the best way to open up this discussion.  It might be appropriate, for example, for someone who is making a request for flexibility to open up a discussion </w:t>
      </w:r>
      <w:proofErr w:type="gramStart"/>
      <w:r w:rsidRPr="007E4E38">
        <w:rPr>
          <w:rFonts w:ascii="Arial" w:hAnsi="Arial" w:cs="Arial"/>
        </w:rPr>
        <w:t>themselves</w:t>
      </w:r>
      <w:proofErr w:type="gramEnd"/>
      <w:r w:rsidRPr="007E4E38">
        <w:rPr>
          <w:rFonts w:ascii="Arial" w:hAnsi="Arial" w:cs="Arial"/>
        </w:rPr>
        <w:t xml:space="preserve"> at a team meeting and perhaps start by providing some background information about the relevant religious issues involved.  In other situations, it might be better for a team manager to open up the discussion.  It is also important to frame any discussion by describing your desire, and the University’s commitment, to be inclusive and to demonstrate flexibility wherever possible.</w:t>
      </w:r>
    </w:p>
    <w:p w:rsidR="001823A8" w:rsidRDefault="001823A8" w:rsidP="007E4E38">
      <w:pPr>
        <w:tabs>
          <w:tab w:val="left" w:pos="964"/>
        </w:tabs>
        <w:ind w:right="686"/>
        <w:rPr>
          <w:rFonts w:ascii="Arial" w:hAnsi="Arial" w:cs="Arial"/>
          <w:color w:val="000000"/>
          <w:lang w:val="en-US"/>
        </w:rPr>
      </w:pPr>
    </w:p>
    <w:p w:rsidR="007E4E38" w:rsidRPr="007E4E38" w:rsidRDefault="007E4E38" w:rsidP="007E4E38">
      <w:pPr>
        <w:tabs>
          <w:tab w:val="left" w:pos="964"/>
        </w:tabs>
        <w:ind w:right="686"/>
        <w:rPr>
          <w:rFonts w:ascii="Arial" w:hAnsi="Arial" w:cs="Arial"/>
          <w:color w:val="000000"/>
          <w:lang w:val="en-US"/>
        </w:rPr>
      </w:pPr>
    </w:p>
    <w:p w:rsidR="001823A8" w:rsidRPr="007E4E38" w:rsidRDefault="001823A8" w:rsidP="007E4E38">
      <w:pPr>
        <w:ind w:right="686"/>
        <w:rPr>
          <w:rFonts w:ascii="Arial" w:hAnsi="Arial" w:cs="Arial"/>
          <w:b/>
          <w:bCs/>
          <w:iCs/>
          <w:color w:val="000000"/>
          <w:sz w:val="36"/>
          <w:szCs w:val="36"/>
          <w:lang w:val="en-US"/>
        </w:rPr>
      </w:pPr>
      <w:r w:rsidRPr="007E4E38">
        <w:rPr>
          <w:rFonts w:ascii="Arial" w:hAnsi="Arial" w:cs="Arial"/>
          <w:b/>
          <w:bCs/>
          <w:iCs/>
          <w:color w:val="000000"/>
          <w:sz w:val="36"/>
          <w:szCs w:val="36"/>
          <w:lang w:val="en-US"/>
        </w:rPr>
        <w:t>Benefiting everyone</w:t>
      </w:r>
    </w:p>
    <w:p w:rsidR="001823A8" w:rsidRPr="007E4E38" w:rsidRDefault="001823A8" w:rsidP="007E4E38">
      <w:pPr>
        <w:tabs>
          <w:tab w:val="left" w:pos="964"/>
        </w:tabs>
        <w:ind w:right="686"/>
        <w:rPr>
          <w:rFonts w:ascii="Arial" w:hAnsi="Arial" w:cs="Arial"/>
          <w:color w:val="000000"/>
          <w:lang w:val="en-US"/>
        </w:rPr>
      </w:pPr>
      <w:r w:rsidRPr="007E4E38">
        <w:rPr>
          <w:rFonts w:ascii="Arial" w:hAnsi="Arial" w:cs="Arial"/>
          <w:color w:val="000000"/>
          <w:lang w:val="en-US"/>
        </w:rPr>
        <w:tab/>
      </w:r>
    </w:p>
    <w:p w:rsidR="001823A8" w:rsidRPr="007E4E38" w:rsidRDefault="001823A8" w:rsidP="007E4E38">
      <w:pPr>
        <w:ind w:right="686"/>
        <w:rPr>
          <w:rFonts w:ascii="Arial" w:hAnsi="Arial" w:cs="Arial"/>
          <w:color w:val="000000"/>
          <w:lang w:val="en-US"/>
        </w:rPr>
      </w:pPr>
      <w:r w:rsidRPr="007E4E38">
        <w:rPr>
          <w:rFonts w:ascii="Arial" w:hAnsi="Arial" w:cs="Arial"/>
          <w:color w:val="000000"/>
          <w:lang w:val="en-US"/>
        </w:rPr>
        <w:t xml:space="preserve">A final point that is worth noting here is that being more flexible in our approach will often make things easier for everyone – this is not simply an issue that affects people from particular religious groups.  We all, at various times, require flexibility from the institutions we engage with – perhaps because of our childcare or caring </w:t>
      </w:r>
      <w:r w:rsidRPr="007E4E38">
        <w:rPr>
          <w:rFonts w:ascii="Arial" w:hAnsi="Arial" w:cs="Arial"/>
          <w:color w:val="000000"/>
          <w:lang w:val="en-US"/>
        </w:rPr>
        <w:lastRenderedPageBreak/>
        <w:t xml:space="preserve">responsibilities, perhaps because of our busy schedules, perhaps for disability-related reasons, etc.  </w:t>
      </w:r>
    </w:p>
    <w:p w:rsidR="001823A8" w:rsidRPr="007E4E38" w:rsidRDefault="001823A8" w:rsidP="007E4E38">
      <w:pPr>
        <w:ind w:right="686"/>
        <w:rPr>
          <w:rFonts w:ascii="Arial" w:hAnsi="Arial" w:cs="Arial"/>
          <w:color w:val="000000"/>
          <w:lang w:val="en-US"/>
        </w:rPr>
      </w:pPr>
    </w:p>
    <w:p w:rsidR="001823A8" w:rsidRPr="007E4E38" w:rsidRDefault="001823A8" w:rsidP="007E4E38">
      <w:pPr>
        <w:ind w:right="686"/>
        <w:rPr>
          <w:rFonts w:ascii="Arial" w:hAnsi="Arial" w:cs="Arial"/>
          <w:color w:val="000000"/>
          <w:lang w:val="en-US"/>
        </w:rPr>
      </w:pPr>
      <w:r w:rsidRPr="007E4E38">
        <w:rPr>
          <w:rFonts w:ascii="Arial" w:hAnsi="Arial" w:cs="Arial"/>
          <w:color w:val="000000"/>
          <w:lang w:val="en-US"/>
        </w:rPr>
        <w:t xml:space="preserve">We fully accept that providing complete flexibility at the University on all fronts is impossible, and, indeed, undesirable if we are to work as effectively as possible.  However, the more advance warning we can provide of our timetabling, and the more flexible we can be in terms of meeting the needs of individuals, the less likely we are to discriminate inadvertently against particular groups and the more likely we are to foster goodwill and improve the experience of our staff and students. </w:t>
      </w:r>
    </w:p>
    <w:p w:rsidR="001823A8" w:rsidRPr="007E4E38" w:rsidRDefault="001823A8" w:rsidP="007E4E38">
      <w:pPr>
        <w:ind w:right="686"/>
        <w:rPr>
          <w:rFonts w:ascii="Arial" w:hAnsi="Arial" w:cs="Arial"/>
          <w:color w:val="000000"/>
          <w:lang w:val="en-US"/>
        </w:rPr>
      </w:pPr>
    </w:p>
    <w:p w:rsidR="001823A8" w:rsidRPr="007E4E38" w:rsidRDefault="001823A8" w:rsidP="007E4E38">
      <w:pPr>
        <w:ind w:right="686"/>
        <w:rPr>
          <w:rFonts w:ascii="Arial" w:hAnsi="Arial" w:cs="Arial"/>
          <w:color w:val="000000"/>
          <w:lang w:val="en-US"/>
        </w:rPr>
      </w:pPr>
      <w:r w:rsidRPr="007E4E38">
        <w:rPr>
          <w:rFonts w:ascii="Arial" w:hAnsi="Arial" w:cs="Arial"/>
          <w:color w:val="000000"/>
          <w:lang w:val="en-US"/>
        </w:rPr>
        <w:t xml:space="preserve">You are also very welcome to contact the </w:t>
      </w:r>
      <w:r w:rsidR="00824A8F" w:rsidRPr="007E4E38">
        <w:rPr>
          <w:rFonts w:ascii="Arial" w:hAnsi="Arial" w:cs="Arial"/>
          <w:color w:val="000000"/>
          <w:lang w:val="en-US"/>
        </w:rPr>
        <w:t>Equality Policy Unit</w:t>
      </w:r>
      <w:r w:rsidRPr="007E4E38">
        <w:rPr>
          <w:rFonts w:ascii="Arial" w:hAnsi="Arial" w:cs="Arial"/>
          <w:color w:val="000000"/>
          <w:lang w:val="en-US"/>
        </w:rPr>
        <w:t xml:space="preserve"> to discuss how these issues impact on the work of your individual school/faculty.</w:t>
      </w:r>
    </w:p>
    <w:p w:rsidR="001823A8" w:rsidRPr="007E4E38" w:rsidRDefault="001823A8" w:rsidP="007E4E38">
      <w:pPr>
        <w:ind w:right="686"/>
        <w:rPr>
          <w:rFonts w:ascii="Arial" w:hAnsi="Arial" w:cs="Arial"/>
          <w:color w:val="000000"/>
          <w:lang w:val="en-US"/>
        </w:rPr>
      </w:pPr>
    </w:p>
    <w:p w:rsidR="001823A8" w:rsidRPr="007E4E38" w:rsidRDefault="00163DE6" w:rsidP="007E4E38">
      <w:pPr>
        <w:ind w:right="686"/>
        <w:rPr>
          <w:sz w:val="28"/>
          <w:szCs w:val="28"/>
        </w:rPr>
      </w:pPr>
      <w:r w:rsidRPr="007E4E38">
        <w:rPr>
          <w:rFonts w:ascii="Arial" w:hAnsi="Arial" w:cs="Arial"/>
          <w:b/>
          <w:bCs/>
          <w:color w:val="000000"/>
          <w:sz w:val="28"/>
          <w:szCs w:val="28"/>
          <w:lang w:val="en-US"/>
        </w:rPr>
        <w:t xml:space="preserve">Email: </w:t>
      </w:r>
      <w:hyperlink r:id="rId11" w:history="1">
        <w:r w:rsidRPr="007E4E38">
          <w:rPr>
            <w:rStyle w:val="Hyperlink"/>
            <w:rFonts w:ascii="Arial" w:hAnsi="Arial" w:cs="Arial"/>
            <w:sz w:val="28"/>
            <w:szCs w:val="28"/>
            <w:lang w:val="en-US"/>
          </w:rPr>
          <w:t>equality@leeds.ac.uk</w:t>
        </w:r>
      </w:hyperlink>
      <w:r w:rsidRPr="007E4E38">
        <w:rPr>
          <w:rFonts w:ascii="Arial" w:hAnsi="Arial" w:cs="Arial"/>
          <w:color w:val="000000"/>
          <w:sz w:val="28"/>
          <w:szCs w:val="28"/>
          <w:lang w:val="en-US"/>
        </w:rPr>
        <w:t xml:space="preserve">, </w:t>
      </w:r>
      <w:hyperlink r:id="rId12" w:history="1">
        <w:r w:rsidRPr="007E4E38">
          <w:rPr>
            <w:rStyle w:val="Hyperlink"/>
            <w:rFonts w:ascii="Arial" w:hAnsi="Arial" w:cs="Arial"/>
            <w:sz w:val="28"/>
            <w:szCs w:val="28"/>
            <w:lang w:val="en-US"/>
          </w:rPr>
          <w:t>www.equality.leeds.ac.uk</w:t>
        </w:r>
      </w:hyperlink>
    </w:p>
    <w:p w:rsidR="00824A8F" w:rsidRPr="007E4E38" w:rsidRDefault="00824A8F" w:rsidP="007E4E38">
      <w:pPr>
        <w:ind w:right="686"/>
        <w:rPr>
          <w:rFonts w:ascii="Arial" w:hAnsi="Arial" w:cs="Arial"/>
          <w:color w:val="000000"/>
          <w:lang w:val="en-US"/>
        </w:rPr>
      </w:pPr>
    </w:p>
    <w:p w:rsidR="001823A8" w:rsidRPr="007E4E38" w:rsidRDefault="001823A8" w:rsidP="007E4E38">
      <w:pPr>
        <w:ind w:right="686"/>
        <w:rPr>
          <w:rFonts w:ascii="Arial" w:hAnsi="Arial" w:cs="Arial"/>
          <w:color w:val="000000"/>
          <w:lang w:val="en-US"/>
        </w:rPr>
      </w:pPr>
    </w:p>
    <w:p w:rsidR="001C1F15" w:rsidRPr="007E4E38" w:rsidRDefault="001C1F15" w:rsidP="007E4E38">
      <w:pPr>
        <w:pBdr>
          <w:top w:val="single" w:sz="4" w:space="1" w:color="auto"/>
          <w:left w:val="single" w:sz="4" w:space="6" w:color="auto"/>
          <w:bottom w:val="single" w:sz="4" w:space="1" w:color="auto"/>
          <w:right w:val="single" w:sz="4" w:space="4" w:color="auto"/>
        </w:pBdr>
        <w:ind w:right="686"/>
        <w:rPr>
          <w:b/>
          <w:sz w:val="32"/>
          <w:szCs w:val="32"/>
        </w:rPr>
      </w:pPr>
      <w:r>
        <w:rPr>
          <w:rFonts w:ascii="Arial" w:hAnsi="Arial" w:cs="Arial"/>
          <w:b/>
          <w:noProof/>
          <w:sz w:val="32"/>
          <w:szCs w:val="32"/>
        </w:rPr>
        <w:drawing>
          <wp:anchor distT="0" distB="0" distL="114300" distR="114300" simplePos="0" relativeHeight="251665408" behindDoc="0" locked="0" layoutInCell="1" allowOverlap="1">
            <wp:simplePos x="0" y="0"/>
            <wp:positionH relativeFrom="margin">
              <wp:posOffset>4867275</wp:posOffset>
            </wp:positionH>
            <wp:positionV relativeFrom="margin">
              <wp:posOffset>8013065</wp:posOffset>
            </wp:positionV>
            <wp:extent cx="1087755" cy="1275080"/>
            <wp:effectExtent l="19050" t="0" r="0" b="0"/>
            <wp:wrapSquare wrapText="bothSides"/>
            <wp:docPr id="5" name="Picture 4" descr="bronze-aw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award-logo.jpg"/>
                    <pic:cNvPicPr/>
                  </pic:nvPicPr>
                  <pic:blipFill>
                    <a:blip r:embed="rId13" cstate="print"/>
                    <a:stretch>
                      <a:fillRect/>
                    </a:stretch>
                  </pic:blipFill>
                  <pic:spPr>
                    <a:xfrm>
                      <a:off x="0" y="0"/>
                      <a:ext cx="1087755" cy="1275080"/>
                    </a:xfrm>
                    <a:prstGeom prst="rect">
                      <a:avLst/>
                    </a:prstGeom>
                  </pic:spPr>
                </pic:pic>
              </a:graphicData>
            </a:graphic>
          </wp:anchor>
        </w:drawing>
      </w:r>
      <w:r>
        <w:rPr>
          <w:rFonts w:ascii="Arial" w:hAnsi="Arial" w:cs="Arial"/>
          <w:b/>
          <w:noProof/>
          <w:sz w:val="32"/>
          <w:szCs w:val="32"/>
        </w:rPr>
        <w:drawing>
          <wp:anchor distT="0" distB="0" distL="114300" distR="114300" simplePos="0" relativeHeight="251663360" behindDoc="0" locked="0" layoutInCell="1" allowOverlap="1">
            <wp:simplePos x="0" y="0"/>
            <wp:positionH relativeFrom="margin">
              <wp:posOffset>-570865</wp:posOffset>
            </wp:positionH>
            <wp:positionV relativeFrom="margin">
              <wp:posOffset>8073390</wp:posOffset>
            </wp:positionV>
            <wp:extent cx="1573530" cy="1070610"/>
            <wp:effectExtent l="19050" t="0" r="7620" b="0"/>
            <wp:wrapSquare wrapText="bothSides"/>
            <wp:docPr id="3" name="Picture 2" descr="EI_Graphic-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_Graphic-5cm.jpg"/>
                    <pic:cNvPicPr/>
                  </pic:nvPicPr>
                  <pic:blipFill>
                    <a:blip r:embed="rId14" cstate="print"/>
                    <a:stretch>
                      <a:fillRect/>
                    </a:stretch>
                  </pic:blipFill>
                  <pic:spPr>
                    <a:xfrm>
                      <a:off x="0" y="0"/>
                      <a:ext cx="1573530" cy="1070610"/>
                    </a:xfrm>
                    <a:prstGeom prst="rect">
                      <a:avLst/>
                    </a:prstGeom>
                  </pic:spPr>
                </pic:pic>
              </a:graphicData>
            </a:graphic>
          </wp:anchor>
        </w:drawing>
      </w:r>
      <w:r>
        <w:rPr>
          <w:rFonts w:ascii="Arial" w:hAnsi="Arial" w:cs="Arial"/>
          <w:b/>
          <w:noProof/>
          <w:sz w:val="32"/>
          <w:szCs w:val="32"/>
        </w:rPr>
        <w:pict>
          <v:shape id="_x0000_s1034" type="#_x0000_t202" style="position:absolute;margin-left:-53.05pt;margin-top:499.8pt;width:230.2pt;height:20.85pt;z-index:251664384;mso-position-horizontal-relative:text;mso-position-vertical-relative:text" stroked="f">
            <v:textbox>
              <w:txbxContent>
                <w:p w:rsidR="001C1F15" w:rsidRPr="001C1F15" w:rsidRDefault="001C1F15">
                  <w:pPr>
                    <w:rPr>
                      <w:rFonts w:ascii="Arial" w:hAnsi="Arial" w:cs="Arial"/>
                      <w:sz w:val="22"/>
                      <w:szCs w:val="22"/>
                    </w:rPr>
                  </w:pPr>
                  <w:r w:rsidRPr="001C1F15">
                    <w:rPr>
                      <w:rFonts w:ascii="Arial" w:hAnsi="Arial" w:cs="Arial"/>
                      <w:b/>
                      <w:sz w:val="22"/>
                      <w:szCs w:val="22"/>
                    </w:rPr>
                    <w:t>‘</w:t>
                  </w:r>
                  <w:proofErr w:type="gramStart"/>
                  <w:r w:rsidRPr="001C1F15">
                    <w:rPr>
                      <w:rFonts w:ascii="Arial" w:hAnsi="Arial" w:cs="Arial"/>
                      <w:b/>
                      <w:sz w:val="22"/>
                      <w:szCs w:val="22"/>
                    </w:rPr>
                    <w:t>everyone</w:t>
                  </w:r>
                  <w:proofErr w:type="gramEnd"/>
                  <w:r w:rsidRPr="001C1F15">
                    <w:rPr>
                      <w:rFonts w:ascii="Arial" w:hAnsi="Arial" w:cs="Arial"/>
                      <w:sz w:val="22"/>
                      <w:szCs w:val="22"/>
                    </w:rPr>
                    <w:t xml:space="preserve"> included, </w:t>
                  </w:r>
                  <w:r w:rsidRPr="001C1F15">
                    <w:rPr>
                      <w:rFonts w:ascii="Arial" w:hAnsi="Arial" w:cs="Arial"/>
                      <w:b/>
                      <w:sz w:val="22"/>
                      <w:szCs w:val="22"/>
                    </w:rPr>
                    <w:t>everyone</w:t>
                  </w:r>
                  <w:r w:rsidRPr="001C1F15">
                    <w:rPr>
                      <w:rFonts w:ascii="Arial" w:hAnsi="Arial" w:cs="Arial"/>
                      <w:sz w:val="22"/>
                      <w:szCs w:val="22"/>
                    </w:rPr>
                    <w:t xml:space="preserve"> involved’</w:t>
                  </w:r>
                </w:p>
              </w:txbxContent>
            </v:textbox>
          </v:shape>
        </w:pict>
      </w:r>
      <w:r w:rsidR="001823A8" w:rsidRPr="007E4E38">
        <w:rPr>
          <w:rFonts w:ascii="Arial" w:hAnsi="Arial" w:cs="Arial"/>
          <w:b/>
          <w:sz w:val="32"/>
          <w:szCs w:val="32"/>
          <w:lang w:val="en-US"/>
        </w:rPr>
        <w:t>These guides provide some general guidance and information about key legal concepts within anti-discrimination law and related good practice.  Anyone needing to know how the law applies in a particular situation should seek specialist or legal advice.</w:t>
      </w:r>
    </w:p>
    <w:sectPr w:rsidR="001C1F15" w:rsidRPr="007E4E38" w:rsidSect="00CE0CA2">
      <w:pgSz w:w="11906" w:h="16838"/>
      <w:pgMar w:top="568" w:right="424"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E38" w:rsidRDefault="007E4E38" w:rsidP="005E4274">
      <w:r>
        <w:separator/>
      </w:r>
    </w:p>
  </w:endnote>
  <w:endnote w:type="continuationSeparator" w:id="0">
    <w:p w:rsidR="007E4E38" w:rsidRDefault="007E4E38" w:rsidP="005E4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E38" w:rsidRDefault="007E4E38" w:rsidP="005E4274">
      <w:r>
        <w:separator/>
      </w:r>
    </w:p>
  </w:footnote>
  <w:footnote w:type="continuationSeparator" w:id="0">
    <w:p w:rsidR="007E4E38" w:rsidRDefault="007E4E38" w:rsidP="005E4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9D26DA4"/>
    <w:lvl w:ilvl="0">
      <w:start w:val="1"/>
      <w:numFmt w:val="decimal"/>
      <w:pStyle w:val="ListNumber"/>
      <w:lvlText w:val="%1."/>
      <w:lvlJc w:val="left"/>
      <w:pPr>
        <w:tabs>
          <w:tab w:val="num" w:pos="360"/>
        </w:tabs>
        <w:ind w:left="360" w:hanging="360"/>
      </w:pPr>
    </w:lvl>
  </w:abstractNum>
  <w:abstractNum w:abstractNumId="1">
    <w:nsid w:val="FFFFFF89"/>
    <w:multiLevelType w:val="singleLevel"/>
    <w:tmpl w:val="8FE23C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AA66458"/>
    <w:multiLevelType w:val="hybridMultilevel"/>
    <w:tmpl w:val="C3EE262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51101C7"/>
    <w:multiLevelType w:val="hybridMultilevel"/>
    <w:tmpl w:val="CEA2C21A"/>
    <w:lvl w:ilvl="0" w:tplc="AED6C5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stylePaneFormatFilter w:val="1F08"/>
  <w:defaultTabStop w:val="720"/>
  <w:characterSpacingControl w:val="doNotCompress"/>
  <w:hdrShapeDefaults>
    <o:shapedefaults v:ext="edit" spidmax="16385">
      <o:colormru v:ext="edit" colors="#007774,#3378cb"/>
      <o:colormenu v:ext="edit" fillcolor="#3378cb" strokecolor="none"/>
    </o:shapedefaults>
  </w:hdrShapeDefaults>
  <w:footnotePr>
    <w:footnote w:id="-1"/>
    <w:footnote w:id="0"/>
  </w:footnotePr>
  <w:endnotePr>
    <w:endnote w:id="-1"/>
    <w:endnote w:id="0"/>
  </w:endnotePr>
  <w:compat/>
  <w:rsids>
    <w:rsidRoot w:val="001823A8"/>
    <w:rsid w:val="0000748D"/>
    <w:rsid w:val="00163DE6"/>
    <w:rsid w:val="00165A03"/>
    <w:rsid w:val="001823A8"/>
    <w:rsid w:val="001B3DB1"/>
    <w:rsid w:val="001C1F15"/>
    <w:rsid w:val="001D02C1"/>
    <w:rsid w:val="001E465E"/>
    <w:rsid w:val="001E4A27"/>
    <w:rsid w:val="001F0E0F"/>
    <w:rsid w:val="00216850"/>
    <w:rsid w:val="003C5594"/>
    <w:rsid w:val="00400E6C"/>
    <w:rsid w:val="005706A5"/>
    <w:rsid w:val="00585DF3"/>
    <w:rsid w:val="005D2007"/>
    <w:rsid w:val="005E4274"/>
    <w:rsid w:val="0067591D"/>
    <w:rsid w:val="007258A7"/>
    <w:rsid w:val="00744F7C"/>
    <w:rsid w:val="00767312"/>
    <w:rsid w:val="007C4622"/>
    <w:rsid w:val="007E4E38"/>
    <w:rsid w:val="00824A8F"/>
    <w:rsid w:val="00912C74"/>
    <w:rsid w:val="00947AFB"/>
    <w:rsid w:val="00AB7D46"/>
    <w:rsid w:val="00B505D4"/>
    <w:rsid w:val="00BA68BA"/>
    <w:rsid w:val="00BE0704"/>
    <w:rsid w:val="00C05516"/>
    <w:rsid w:val="00C17123"/>
    <w:rsid w:val="00C47995"/>
    <w:rsid w:val="00CE0CA2"/>
    <w:rsid w:val="00D523F1"/>
    <w:rsid w:val="00DC32CC"/>
    <w:rsid w:val="00EB35A3"/>
    <w:rsid w:val="00F43154"/>
    <w:rsid w:val="00F62F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colormru v:ext="edit" colors="#007774,#3378cb"/>
      <o:colormenu v:ext="edit" fillcolor="#3378cb"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A8"/>
    <w:rPr>
      <w:rFonts w:eastAsia="Times New Roman"/>
      <w:sz w:val="24"/>
      <w:szCs w:val="24"/>
      <w:lang w:eastAsia="en-GB"/>
    </w:rPr>
  </w:style>
  <w:style w:type="paragraph" w:styleId="Heading1">
    <w:name w:val="heading 1"/>
    <w:basedOn w:val="Normal"/>
    <w:next w:val="Normal"/>
    <w:link w:val="Heading1Char"/>
    <w:qFormat/>
    <w:rsid w:val="00585DF3"/>
    <w:pPr>
      <w:keepNext/>
      <w:outlineLvl w:val="0"/>
    </w:pPr>
    <w:rPr>
      <w:b/>
      <w:bCs/>
      <w:sz w:val="40"/>
      <w:szCs w:val="32"/>
    </w:rPr>
  </w:style>
  <w:style w:type="paragraph" w:styleId="Heading2">
    <w:name w:val="heading 2"/>
    <w:basedOn w:val="Normal"/>
    <w:next w:val="Normal"/>
    <w:link w:val="Heading2Char"/>
    <w:qFormat/>
    <w:rsid w:val="00585DF3"/>
    <w:pPr>
      <w:keepNext/>
      <w:outlineLvl w:val="1"/>
    </w:pPr>
    <w:rPr>
      <w:b/>
      <w:bCs/>
      <w:iCs/>
      <w:sz w:val="36"/>
      <w:szCs w:val="28"/>
    </w:rPr>
  </w:style>
  <w:style w:type="paragraph" w:styleId="Heading3">
    <w:name w:val="heading 3"/>
    <w:basedOn w:val="Normal"/>
    <w:next w:val="Normal"/>
    <w:link w:val="Heading3Char"/>
    <w:qFormat/>
    <w:rsid w:val="00585DF3"/>
    <w:pPr>
      <w:keepNext/>
      <w:outlineLvl w:val="2"/>
    </w:pPr>
    <w:rPr>
      <w:b/>
      <w:bCs/>
      <w:sz w:val="32"/>
      <w:szCs w:val="26"/>
    </w:rPr>
  </w:style>
  <w:style w:type="paragraph" w:styleId="Heading4">
    <w:name w:val="heading 4"/>
    <w:basedOn w:val="Normal"/>
    <w:next w:val="Normal"/>
    <w:link w:val="Heading4Char"/>
    <w:qFormat/>
    <w:rsid w:val="00585DF3"/>
    <w:pPr>
      <w:keepNext/>
      <w:outlineLvl w:val="3"/>
    </w:pPr>
    <w:rPr>
      <w:b/>
      <w:bCs/>
      <w:szCs w:val="28"/>
    </w:rPr>
  </w:style>
  <w:style w:type="paragraph" w:styleId="Heading5">
    <w:name w:val="heading 5"/>
    <w:basedOn w:val="Normal"/>
    <w:next w:val="Normal"/>
    <w:link w:val="Heading5Char"/>
    <w:qFormat/>
    <w:rsid w:val="00585DF3"/>
    <w:pPr>
      <w:keepNext/>
      <w:outlineLvl w:val="4"/>
    </w:pPr>
    <w:rPr>
      <w:b/>
      <w:bCs/>
      <w:iCs/>
      <w:szCs w:val="26"/>
    </w:rPr>
  </w:style>
  <w:style w:type="paragraph" w:styleId="Heading6">
    <w:name w:val="heading 6"/>
    <w:basedOn w:val="Normal"/>
    <w:next w:val="Normal"/>
    <w:link w:val="Heading6Char"/>
    <w:qFormat/>
    <w:rsid w:val="00585DF3"/>
    <w:pPr>
      <w:keepNex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DF3"/>
    <w:rPr>
      <w:rFonts w:eastAsia="Times New Roman" w:cs="Arial"/>
      <w:b/>
      <w:bCs/>
      <w:sz w:val="40"/>
      <w:szCs w:val="32"/>
      <w:lang w:eastAsia="en-GB"/>
    </w:rPr>
  </w:style>
  <w:style w:type="character" w:customStyle="1" w:styleId="Heading2Char">
    <w:name w:val="Heading 2 Char"/>
    <w:basedOn w:val="DefaultParagraphFont"/>
    <w:link w:val="Heading2"/>
    <w:rsid w:val="00585DF3"/>
    <w:rPr>
      <w:rFonts w:eastAsia="Times New Roman" w:cs="Arial"/>
      <w:b/>
      <w:bCs/>
      <w:iCs/>
      <w:sz w:val="36"/>
      <w:szCs w:val="28"/>
      <w:lang w:eastAsia="en-GB"/>
    </w:rPr>
  </w:style>
  <w:style w:type="character" w:customStyle="1" w:styleId="Heading3Char">
    <w:name w:val="Heading 3 Char"/>
    <w:basedOn w:val="DefaultParagraphFont"/>
    <w:link w:val="Heading3"/>
    <w:rsid w:val="00585DF3"/>
    <w:rPr>
      <w:rFonts w:eastAsia="Times New Roman" w:cs="Arial"/>
      <w:b/>
      <w:bCs/>
      <w:sz w:val="32"/>
      <w:szCs w:val="26"/>
      <w:lang w:eastAsia="en-GB"/>
    </w:rPr>
  </w:style>
  <w:style w:type="character" w:customStyle="1" w:styleId="Heading4Char">
    <w:name w:val="Heading 4 Char"/>
    <w:basedOn w:val="DefaultParagraphFont"/>
    <w:link w:val="Heading4"/>
    <w:rsid w:val="00585DF3"/>
    <w:rPr>
      <w:rFonts w:eastAsia="Times New Roman" w:cs="Arial"/>
      <w:b/>
      <w:bCs/>
      <w:sz w:val="28"/>
      <w:szCs w:val="28"/>
      <w:lang w:eastAsia="en-GB"/>
    </w:rPr>
  </w:style>
  <w:style w:type="character" w:customStyle="1" w:styleId="Heading5Char">
    <w:name w:val="Heading 5 Char"/>
    <w:basedOn w:val="DefaultParagraphFont"/>
    <w:link w:val="Heading5"/>
    <w:rsid w:val="00585DF3"/>
    <w:rPr>
      <w:rFonts w:eastAsia="Times New Roman" w:cs="Arial"/>
      <w:b/>
      <w:bCs/>
      <w:iCs/>
      <w:sz w:val="28"/>
      <w:szCs w:val="26"/>
      <w:lang w:eastAsia="en-GB"/>
    </w:rPr>
  </w:style>
  <w:style w:type="character" w:customStyle="1" w:styleId="Heading6Char">
    <w:name w:val="Heading 6 Char"/>
    <w:basedOn w:val="DefaultParagraphFont"/>
    <w:link w:val="Heading6"/>
    <w:rsid w:val="00585DF3"/>
    <w:rPr>
      <w:rFonts w:eastAsia="Times New Roman" w:cs="Arial"/>
      <w:b/>
      <w:bCs/>
      <w:sz w:val="28"/>
      <w:lang w:eastAsia="en-GB"/>
    </w:rPr>
  </w:style>
  <w:style w:type="paragraph" w:styleId="Caption">
    <w:name w:val="caption"/>
    <w:basedOn w:val="Normal"/>
    <w:next w:val="Normal"/>
    <w:qFormat/>
    <w:rsid w:val="00585DF3"/>
    <w:rPr>
      <w:b/>
      <w:bCs/>
      <w:szCs w:val="20"/>
    </w:rPr>
  </w:style>
  <w:style w:type="paragraph" w:styleId="ListBullet">
    <w:name w:val="List Bullet"/>
    <w:basedOn w:val="Normal"/>
    <w:rsid w:val="00C05516"/>
    <w:pPr>
      <w:numPr>
        <w:numId w:val="2"/>
      </w:numPr>
    </w:pPr>
  </w:style>
  <w:style w:type="paragraph" w:styleId="ListNumber">
    <w:name w:val="List Number"/>
    <w:basedOn w:val="Normal"/>
    <w:rsid w:val="00C05516"/>
    <w:pPr>
      <w:numPr>
        <w:numId w:val="4"/>
      </w:numPr>
    </w:pPr>
  </w:style>
  <w:style w:type="paragraph" w:styleId="Title">
    <w:name w:val="Title"/>
    <w:basedOn w:val="Normal"/>
    <w:next w:val="Normal"/>
    <w:link w:val="TitleChar"/>
    <w:qFormat/>
    <w:rsid w:val="00585DF3"/>
    <w:pPr>
      <w:keepNext/>
      <w:outlineLvl w:val="0"/>
    </w:pPr>
    <w:rPr>
      <w:b/>
      <w:bCs/>
      <w:sz w:val="44"/>
      <w:szCs w:val="32"/>
    </w:rPr>
  </w:style>
  <w:style w:type="character" w:customStyle="1" w:styleId="TitleChar">
    <w:name w:val="Title Char"/>
    <w:basedOn w:val="DefaultParagraphFont"/>
    <w:link w:val="Title"/>
    <w:rsid w:val="00585DF3"/>
    <w:rPr>
      <w:rFonts w:eastAsia="Times New Roman" w:cs="Arial"/>
      <w:b/>
      <w:bCs/>
      <w:sz w:val="44"/>
      <w:szCs w:val="32"/>
      <w:lang w:eastAsia="en-GB"/>
    </w:rPr>
  </w:style>
  <w:style w:type="paragraph" w:styleId="Subtitle">
    <w:name w:val="Subtitle"/>
    <w:basedOn w:val="Normal"/>
    <w:next w:val="Normal"/>
    <w:link w:val="SubtitleChar"/>
    <w:qFormat/>
    <w:rsid w:val="00585DF3"/>
    <w:pPr>
      <w:keepNext/>
    </w:pPr>
    <w:rPr>
      <w:sz w:val="32"/>
    </w:rPr>
  </w:style>
  <w:style w:type="character" w:customStyle="1" w:styleId="SubtitleChar">
    <w:name w:val="Subtitle Char"/>
    <w:basedOn w:val="DefaultParagraphFont"/>
    <w:link w:val="Subtitle"/>
    <w:rsid w:val="00585DF3"/>
    <w:rPr>
      <w:rFonts w:eastAsia="Times New Roman" w:cs="Arial"/>
      <w:sz w:val="32"/>
      <w:szCs w:val="24"/>
      <w:lang w:eastAsia="en-GB"/>
    </w:rPr>
  </w:style>
  <w:style w:type="character" w:styleId="Hyperlink">
    <w:name w:val="Hyperlink"/>
    <w:basedOn w:val="DefaultParagraphFont"/>
    <w:rsid w:val="00C05516"/>
    <w:rPr>
      <w:color w:val="0000FF"/>
      <w:u w:val="single"/>
    </w:rPr>
  </w:style>
  <w:style w:type="paragraph" w:styleId="NormalWeb">
    <w:name w:val="Normal (Web)"/>
    <w:basedOn w:val="Normal"/>
    <w:rsid w:val="00C05516"/>
    <w:pPr>
      <w:spacing w:before="100" w:beforeAutospacing="1" w:after="100" w:afterAutospacing="1"/>
    </w:pPr>
  </w:style>
  <w:style w:type="paragraph" w:styleId="Quote">
    <w:name w:val="Quote"/>
    <w:basedOn w:val="Normal"/>
    <w:link w:val="QuoteChar"/>
    <w:qFormat/>
    <w:rsid w:val="00585DF3"/>
    <w:pPr>
      <w:ind w:left="794" w:right="794"/>
    </w:pPr>
  </w:style>
  <w:style w:type="character" w:customStyle="1" w:styleId="QuoteChar">
    <w:name w:val="Quote Char"/>
    <w:basedOn w:val="DefaultParagraphFont"/>
    <w:link w:val="Quote"/>
    <w:rsid w:val="00585DF3"/>
    <w:rPr>
      <w:rFonts w:eastAsia="Times New Roman" w:cs="Arial"/>
      <w:sz w:val="28"/>
      <w:szCs w:val="24"/>
      <w:lang w:eastAsia="en-GB"/>
    </w:rPr>
  </w:style>
  <w:style w:type="paragraph" w:customStyle="1" w:styleId="articlesummary">
    <w:name w:val="articlesummary"/>
    <w:basedOn w:val="Normal"/>
    <w:rsid w:val="00C05516"/>
    <w:pPr>
      <w:shd w:val="clear" w:color="auto" w:fill="E2C0B7"/>
      <w:spacing w:after="240"/>
    </w:pPr>
    <w:rPr>
      <w:color w:val="003366"/>
    </w:rPr>
  </w:style>
  <w:style w:type="paragraph" w:customStyle="1" w:styleId="Subheading">
    <w:name w:val="Subheading"/>
    <w:basedOn w:val="Normal"/>
    <w:next w:val="Normal"/>
    <w:rsid w:val="00C05516"/>
    <w:pPr>
      <w:keepNext/>
    </w:pPr>
    <w:rPr>
      <w:b/>
    </w:rPr>
  </w:style>
  <w:style w:type="paragraph" w:styleId="BalloonText">
    <w:name w:val="Balloon Text"/>
    <w:basedOn w:val="Normal"/>
    <w:link w:val="BalloonTextChar"/>
    <w:uiPriority w:val="99"/>
    <w:semiHidden/>
    <w:unhideWhenUsed/>
    <w:rsid w:val="00400E6C"/>
    <w:rPr>
      <w:rFonts w:ascii="Tahoma" w:hAnsi="Tahoma" w:cs="Tahoma"/>
      <w:sz w:val="16"/>
      <w:szCs w:val="16"/>
    </w:rPr>
  </w:style>
  <w:style w:type="character" w:customStyle="1" w:styleId="BalloonTextChar">
    <w:name w:val="Balloon Text Char"/>
    <w:basedOn w:val="DefaultParagraphFont"/>
    <w:link w:val="BalloonText"/>
    <w:uiPriority w:val="99"/>
    <w:semiHidden/>
    <w:rsid w:val="00400E6C"/>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5E4274"/>
    <w:pPr>
      <w:tabs>
        <w:tab w:val="center" w:pos="4513"/>
        <w:tab w:val="right" w:pos="9026"/>
      </w:tabs>
    </w:pPr>
  </w:style>
  <w:style w:type="character" w:customStyle="1" w:styleId="HeaderChar">
    <w:name w:val="Header Char"/>
    <w:basedOn w:val="DefaultParagraphFont"/>
    <w:link w:val="Header"/>
    <w:uiPriority w:val="99"/>
    <w:semiHidden/>
    <w:rsid w:val="005E4274"/>
    <w:rPr>
      <w:rFonts w:eastAsia="Times New Roman"/>
      <w:sz w:val="24"/>
      <w:szCs w:val="24"/>
      <w:lang w:eastAsia="en-GB"/>
    </w:rPr>
  </w:style>
  <w:style w:type="paragraph" w:styleId="Footer">
    <w:name w:val="footer"/>
    <w:basedOn w:val="Normal"/>
    <w:link w:val="FooterChar"/>
    <w:uiPriority w:val="99"/>
    <w:semiHidden/>
    <w:unhideWhenUsed/>
    <w:rsid w:val="005E4274"/>
    <w:pPr>
      <w:tabs>
        <w:tab w:val="center" w:pos="4513"/>
        <w:tab w:val="right" w:pos="9026"/>
      </w:tabs>
    </w:pPr>
  </w:style>
  <w:style w:type="character" w:customStyle="1" w:styleId="FooterChar">
    <w:name w:val="Footer Char"/>
    <w:basedOn w:val="DefaultParagraphFont"/>
    <w:link w:val="Footer"/>
    <w:uiPriority w:val="99"/>
    <w:semiHidden/>
    <w:rsid w:val="005E4274"/>
    <w:rPr>
      <w:rFonts w:eastAsia="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equality.leeds.ac.u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equality.leeds.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uality@leeds.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bc.co.uk/religion/tools/calendar/" TargetMode="External"/><Relationship Id="rId4" Type="http://schemas.openxmlformats.org/officeDocument/2006/relationships/webSettings" Target="webSettings.xml"/><Relationship Id="rId9" Type="http://schemas.openxmlformats.org/officeDocument/2006/relationships/hyperlink" Target="http://www.acas.org.uk/media/pdf/f/l/religion_1.pdf"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Messenger</dc:creator>
  <cp:keywords/>
  <dc:description/>
  <cp:lastModifiedBy>Kay Messenger</cp:lastModifiedBy>
  <cp:revision>13</cp:revision>
  <cp:lastPrinted>2014-06-04T09:27:00Z</cp:lastPrinted>
  <dcterms:created xsi:type="dcterms:W3CDTF">2010-03-15T12:44:00Z</dcterms:created>
  <dcterms:modified xsi:type="dcterms:W3CDTF">2014-07-31T15:27:00Z</dcterms:modified>
</cp:coreProperties>
</file>